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ED" w:rsidRPr="00947591" w:rsidRDefault="00BD2B5C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>ZAJEDNICA SPORTSKIH UDRUGA GRADA PAZINA</w:t>
      </w:r>
    </w:p>
    <w:p w:rsidR="008C06ED" w:rsidRPr="00947591" w:rsidRDefault="00BD2B5C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>TUGOMILA UJČIĆA PROFESORA 2</w:t>
      </w:r>
    </w:p>
    <w:p w:rsidR="001752E6" w:rsidRPr="00947591" w:rsidRDefault="00F149E4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>52000 P</w:t>
      </w:r>
      <w:r w:rsidR="008C06ED" w:rsidRPr="00947591">
        <w:rPr>
          <w:rFonts w:cs="Times New Roman"/>
          <w:b/>
          <w:sz w:val="24"/>
          <w:szCs w:val="24"/>
        </w:rPr>
        <w:t>AZIN</w:t>
      </w:r>
    </w:p>
    <w:p w:rsidR="009821C4" w:rsidRPr="00947591" w:rsidRDefault="00F149E4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 xml:space="preserve">OIB </w:t>
      </w:r>
      <w:r w:rsidR="00B36E0D" w:rsidRPr="00947591">
        <w:rPr>
          <w:rFonts w:cs="Times New Roman"/>
          <w:b/>
          <w:sz w:val="24"/>
          <w:szCs w:val="24"/>
        </w:rPr>
        <w:t>3</w:t>
      </w:r>
      <w:r w:rsidR="00BD2B5C" w:rsidRPr="00947591">
        <w:rPr>
          <w:rFonts w:cs="Times New Roman"/>
          <w:b/>
          <w:sz w:val="24"/>
          <w:szCs w:val="24"/>
        </w:rPr>
        <w:t>2779792390</w:t>
      </w:r>
    </w:p>
    <w:p w:rsidR="001752E6" w:rsidRPr="00947591" w:rsidRDefault="00F149E4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 xml:space="preserve">Matični broj </w:t>
      </w:r>
      <w:r w:rsidR="00BD2B5C" w:rsidRPr="00947591">
        <w:rPr>
          <w:rFonts w:cs="Times New Roman"/>
          <w:b/>
          <w:sz w:val="24"/>
          <w:szCs w:val="24"/>
        </w:rPr>
        <w:t>03093662</w:t>
      </w:r>
    </w:p>
    <w:p w:rsidR="001752E6" w:rsidRPr="00947591" w:rsidRDefault="00F149E4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 xml:space="preserve">RNO broj </w:t>
      </w:r>
      <w:r w:rsidR="00BD2B5C" w:rsidRPr="00947591">
        <w:rPr>
          <w:rFonts w:cs="Times New Roman"/>
          <w:b/>
          <w:sz w:val="24"/>
          <w:szCs w:val="24"/>
        </w:rPr>
        <w:t>0091448</w:t>
      </w:r>
    </w:p>
    <w:p w:rsidR="001752E6" w:rsidRPr="00947591" w:rsidRDefault="00F149E4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 xml:space="preserve">Račun </w:t>
      </w:r>
      <w:r w:rsidR="008C06ED" w:rsidRPr="00947591">
        <w:rPr>
          <w:rFonts w:cs="Times New Roman"/>
          <w:b/>
          <w:sz w:val="24"/>
          <w:szCs w:val="24"/>
        </w:rPr>
        <w:t>HR</w:t>
      </w:r>
      <w:r w:rsidR="00BD2B5C" w:rsidRPr="00947591">
        <w:rPr>
          <w:rFonts w:cs="Times New Roman"/>
          <w:b/>
          <w:sz w:val="24"/>
          <w:szCs w:val="24"/>
        </w:rPr>
        <w:t>8523400091110466242</w:t>
      </w:r>
    </w:p>
    <w:p w:rsidR="001752E6" w:rsidRPr="00947591" w:rsidRDefault="00F149E4">
      <w:pPr>
        <w:tabs>
          <w:tab w:val="left" w:pos="1305"/>
        </w:tabs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ab/>
      </w:r>
    </w:p>
    <w:p w:rsidR="001752E6" w:rsidRPr="00947591" w:rsidRDefault="00F149E4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 xml:space="preserve">Šifra djelatnosti </w:t>
      </w:r>
      <w:r w:rsidR="008C06ED" w:rsidRPr="00947591">
        <w:rPr>
          <w:rFonts w:cs="Times New Roman"/>
          <w:b/>
          <w:sz w:val="24"/>
          <w:szCs w:val="24"/>
        </w:rPr>
        <w:t>9</w:t>
      </w:r>
      <w:r w:rsidR="00BD2B5C" w:rsidRPr="00947591">
        <w:rPr>
          <w:rFonts w:cs="Times New Roman"/>
          <w:b/>
          <w:sz w:val="24"/>
          <w:szCs w:val="24"/>
        </w:rPr>
        <w:t>319</w:t>
      </w:r>
    </w:p>
    <w:p w:rsidR="001752E6" w:rsidRPr="00947591" w:rsidRDefault="00F149E4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 xml:space="preserve">Šifra županije </w:t>
      </w:r>
      <w:r w:rsidR="008C06ED" w:rsidRPr="00947591">
        <w:rPr>
          <w:rFonts w:cs="Times New Roman"/>
          <w:b/>
          <w:sz w:val="24"/>
          <w:szCs w:val="24"/>
        </w:rPr>
        <w:t>18</w:t>
      </w:r>
    </w:p>
    <w:p w:rsidR="001752E6" w:rsidRPr="00947591" w:rsidRDefault="00F149E4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 xml:space="preserve">Šifra grada </w:t>
      </w:r>
      <w:r w:rsidR="008C06ED" w:rsidRPr="00947591">
        <w:rPr>
          <w:rFonts w:cs="Times New Roman"/>
          <w:b/>
          <w:sz w:val="24"/>
          <w:szCs w:val="24"/>
        </w:rPr>
        <w:t>321</w:t>
      </w:r>
    </w:p>
    <w:p w:rsidR="001752E6" w:rsidRPr="00947591" w:rsidRDefault="00E77F56">
      <w:pPr>
        <w:spacing w:after="0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>Oznaka razdoblja 2019</w:t>
      </w:r>
      <w:r w:rsidR="00F149E4" w:rsidRPr="00947591">
        <w:rPr>
          <w:rFonts w:cs="Times New Roman"/>
          <w:b/>
          <w:sz w:val="24"/>
          <w:szCs w:val="24"/>
        </w:rPr>
        <w:t>-12</w:t>
      </w:r>
    </w:p>
    <w:p w:rsidR="001752E6" w:rsidRPr="00947591" w:rsidRDefault="001752E6">
      <w:pPr>
        <w:rPr>
          <w:rFonts w:cs="Times New Roman"/>
          <w:sz w:val="24"/>
          <w:szCs w:val="24"/>
        </w:rPr>
      </w:pPr>
    </w:p>
    <w:p w:rsidR="00E93BCD" w:rsidRPr="00947591" w:rsidRDefault="006B4BE8" w:rsidP="00620E4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>Bilješke uz financijske</w:t>
      </w:r>
      <w:r w:rsidR="00E93BCD" w:rsidRPr="00947591">
        <w:rPr>
          <w:rFonts w:cs="Times New Roman"/>
          <w:b/>
          <w:sz w:val="24"/>
          <w:szCs w:val="24"/>
        </w:rPr>
        <w:t xml:space="preserve"> izvještaj</w:t>
      </w:r>
      <w:r w:rsidRPr="00947591">
        <w:rPr>
          <w:rFonts w:cs="Times New Roman"/>
          <w:b/>
          <w:sz w:val="24"/>
          <w:szCs w:val="24"/>
        </w:rPr>
        <w:t>e</w:t>
      </w:r>
    </w:p>
    <w:p w:rsidR="001752E6" w:rsidRPr="00947591" w:rsidRDefault="003E3787" w:rsidP="00620E4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>za 2021</w:t>
      </w:r>
      <w:r w:rsidR="00F149E4" w:rsidRPr="00947591">
        <w:rPr>
          <w:rFonts w:cs="Times New Roman"/>
          <w:b/>
          <w:sz w:val="24"/>
          <w:szCs w:val="24"/>
        </w:rPr>
        <w:t>. godinu</w:t>
      </w:r>
    </w:p>
    <w:p w:rsidR="00620E49" w:rsidRPr="00947591" w:rsidRDefault="00620E49" w:rsidP="00620E4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752E6" w:rsidRPr="00947591" w:rsidRDefault="008532A0" w:rsidP="00620E4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</w:rPr>
        <w:t>Uz financijske</w:t>
      </w:r>
      <w:r w:rsidR="008C06ED" w:rsidRPr="00947591">
        <w:rPr>
          <w:rFonts w:cs="Times New Roman"/>
          <w:sz w:val="24"/>
          <w:szCs w:val="24"/>
        </w:rPr>
        <w:t xml:space="preserve"> izvještaj</w:t>
      </w:r>
      <w:r w:rsidRPr="00947591">
        <w:rPr>
          <w:rFonts w:cs="Times New Roman"/>
          <w:sz w:val="24"/>
          <w:szCs w:val="24"/>
        </w:rPr>
        <w:t>e</w:t>
      </w:r>
      <w:r w:rsidR="00F149E4" w:rsidRPr="00947591">
        <w:rPr>
          <w:rFonts w:cs="Times New Roman"/>
          <w:sz w:val="24"/>
          <w:szCs w:val="24"/>
        </w:rPr>
        <w:t xml:space="preserve"> –</w:t>
      </w:r>
      <w:r w:rsidR="008C06ED" w:rsidRPr="00947591">
        <w:rPr>
          <w:rFonts w:cs="Times New Roman"/>
          <w:sz w:val="24"/>
          <w:szCs w:val="24"/>
        </w:rPr>
        <w:t xml:space="preserve"> </w:t>
      </w:r>
      <w:r w:rsidRPr="00947591">
        <w:rPr>
          <w:rFonts w:cs="Times New Roman"/>
          <w:sz w:val="24"/>
          <w:szCs w:val="24"/>
        </w:rPr>
        <w:t>Izvještaj o prihodima i rashodima i Bilancu</w:t>
      </w:r>
      <w:r w:rsidR="00F149E4" w:rsidRPr="00947591">
        <w:rPr>
          <w:rFonts w:cs="Times New Roman"/>
          <w:sz w:val="24"/>
          <w:szCs w:val="24"/>
        </w:rPr>
        <w:t xml:space="preserve">, </w:t>
      </w:r>
      <w:r w:rsidRPr="00947591">
        <w:rPr>
          <w:rFonts w:cs="Times New Roman"/>
          <w:sz w:val="24"/>
          <w:szCs w:val="24"/>
        </w:rPr>
        <w:t xml:space="preserve">koji </w:t>
      </w:r>
      <w:r w:rsidR="009A0B54" w:rsidRPr="00947591">
        <w:rPr>
          <w:rFonts w:cs="Times New Roman"/>
          <w:sz w:val="24"/>
          <w:szCs w:val="24"/>
        </w:rPr>
        <w:t xml:space="preserve">se predaje </w:t>
      </w:r>
      <w:r w:rsidR="00F149E4" w:rsidRPr="00947591">
        <w:rPr>
          <w:rFonts w:cs="Times New Roman"/>
          <w:sz w:val="24"/>
          <w:szCs w:val="24"/>
        </w:rPr>
        <w:t>u zakonskom roku Financijskoj agenciji</w:t>
      </w:r>
      <w:r w:rsidR="00F761AE" w:rsidRPr="00947591">
        <w:rPr>
          <w:rFonts w:cs="Times New Roman"/>
          <w:sz w:val="24"/>
          <w:szCs w:val="24"/>
        </w:rPr>
        <w:t xml:space="preserve"> za 2021</w:t>
      </w:r>
      <w:r w:rsidR="009A0B54" w:rsidRPr="00947591">
        <w:rPr>
          <w:rFonts w:cs="Times New Roman"/>
          <w:sz w:val="24"/>
          <w:szCs w:val="24"/>
        </w:rPr>
        <w:t>. godinu</w:t>
      </w:r>
      <w:r w:rsidR="00F149E4" w:rsidRPr="00947591">
        <w:rPr>
          <w:rFonts w:cs="Times New Roman"/>
          <w:sz w:val="24"/>
          <w:szCs w:val="24"/>
        </w:rPr>
        <w:t>, neprofitna organizacija</w:t>
      </w:r>
      <w:r w:rsidR="009A0B54" w:rsidRPr="00947591">
        <w:rPr>
          <w:rFonts w:cs="Times New Roman"/>
          <w:sz w:val="24"/>
          <w:szCs w:val="24"/>
        </w:rPr>
        <w:t>,</w:t>
      </w:r>
      <w:r w:rsidR="00F149E4" w:rsidRPr="00947591">
        <w:rPr>
          <w:rFonts w:cs="Times New Roman"/>
          <w:sz w:val="24"/>
          <w:szCs w:val="24"/>
        </w:rPr>
        <w:t xml:space="preserve"> sukladno </w:t>
      </w:r>
      <w:r w:rsidR="00F149E4" w:rsidRPr="00947591">
        <w:rPr>
          <w:rFonts w:cs="Times New Roman"/>
          <w:i/>
          <w:sz w:val="24"/>
          <w:szCs w:val="24"/>
        </w:rPr>
        <w:t>Zakonu o udrugama NN 74/14, 70/17,</w:t>
      </w:r>
      <w:r w:rsidR="00E77F56" w:rsidRPr="00947591">
        <w:rPr>
          <w:rFonts w:cs="Times New Roman"/>
          <w:i/>
          <w:sz w:val="24"/>
          <w:szCs w:val="24"/>
        </w:rPr>
        <w:t xml:space="preserve"> 98/19</w:t>
      </w:r>
      <w:r w:rsidR="00F149E4" w:rsidRPr="00947591">
        <w:rPr>
          <w:rFonts w:cs="Times New Roman"/>
          <w:i/>
          <w:sz w:val="24"/>
          <w:szCs w:val="24"/>
        </w:rPr>
        <w:t xml:space="preserve"> Zakonu o financijskom poslovanju i računovodstvu neprofitnih organizacija NN 121/14, </w:t>
      </w:r>
      <w:r w:rsidR="009A0B54" w:rsidRPr="00947591">
        <w:rPr>
          <w:rFonts w:cs="Times New Roman"/>
          <w:i/>
          <w:sz w:val="24"/>
          <w:szCs w:val="24"/>
        </w:rPr>
        <w:t xml:space="preserve">izmijenjenom </w:t>
      </w:r>
      <w:r w:rsidR="00F149E4" w:rsidRPr="00947591">
        <w:rPr>
          <w:rFonts w:cs="Times New Roman"/>
          <w:i/>
          <w:sz w:val="24"/>
          <w:szCs w:val="24"/>
        </w:rPr>
        <w:t xml:space="preserve">Pravilniku o </w:t>
      </w:r>
      <w:r w:rsidR="009A0B54" w:rsidRPr="00947591">
        <w:rPr>
          <w:rFonts w:cs="Times New Roman"/>
          <w:i/>
          <w:sz w:val="24"/>
          <w:szCs w:val="24"/>
        </w:rPr>
        <w:t xml:space="preserve">izvještavanju u </w:t>
      </w:r>
      <w:r w:rsidR="00F149E4" w:rsidRPr="00947591">
        <w:rPr>
          <w:rFonts w:cs="Times New Roman"/>
          <w:i/>
          <w:sz w:val="24"/>
          <w:szCs w:val="24"/>
        </w:rPr>
        <w:t xml:space="preserve">neprofitnom računovodstvu i </w:t>
      </w:r>
      <w:r w:rsidR="009A0B54" w:rsidRPr="00947591">
        <w:rPr>
          <w:rFonts w:cs="Times New Roman"/>
          <w:i/>
          <w:sz w:val="24"/>
          <w:szCs w:val="24"/>
        </w:rPr>
        <w:t>registru neprofitnih organizacija NN 31</w:t>
      </w:r>
      <w:r w:rsidR="00F149E4" w:rsidRPr="00947591">
        <w:rPr>
          <w:rFonts w:cs="Times New Roman"/>
          <w:i/>
          <w:sz w:val="24"/>
          <w:szCs w:val="24"/>
        </w:rPr>
        <w:t>/15,</w:t>
      </w:r>
      <w:r w:rsidR="009A0B54" w:rsidRPr="00947591">
        <w:rPr>
          <w:rFonts w:cs="Times New Roman"/>
          <w:i/>
          <w:sz w:val="24"/>
          <w:szCs w:val="24"/>
        </w:rPr>
        <w:t xml:space="preserve"> 67/17, 115/18,</w:t>
      </w:r>
      <w:r w:rsidR="0088529C" w:rsidRPr="00947591">
        <w:rPr>
          <w:rFonts w:cs="Times New Roman"/>
          <w:i/>
          <w:sz w:val="24"/>
          <w:szCs w:val="24"/>
        </w:rPr>
        <w:t xml:space="preserve"> 21/21</w:t>
      </w:r>
      <w:r w:rsidR="009A0B54" w:rsidRPr="00947591">
        <w:rPr>
          <w:rFonts w:cs="Times New Roman"/>
          <w:i/>
          <w:sz w:val="24"/>
          <w:szCs w:val="24"/>
        </w:rPr>
        <w:t xml:space="preserve"> dopunjenom</w:t>
      </w:r>
      <w:r w:rsidR="00F149E4" w:rsidRPr="00947591">
        <w:rPr>
          <w:rFonts w:cs="Times New Roman"/>
          <w:i/>
          <w:sz w:val="24"/>
          <w:szCs w:val="24"/>
        </w:rPr>
        <w:t xml:space="preserve"> Pravilniku o neprofitnom računovodstvu i </w:t>
      </w:r>
      <w:r w:rsidR="009A0B54" w:rsidRPr="00947591">
        <w:rPr>
          <w:rFonts w:cs="Times New Roman"/>
          <w:i/>
          <w:sz w:val="24"/>
          <w:szCs w:val="24"/>
        </w:rPr>
        <w:t xml:space="preserve">računskom planu NN </w:t>
      </w:r>
      <w:r w:rsidR="00F149E4" w:rsidRPr="00947591">
        <w:rPr>
          <w:rFonts w:cs="Times New Roman"/>
          <w:i/>
          <w:sz w:val="24"/>
          <w:szCs w:val="24"/>
        </w:rPr>
        <w:t>1/15</w:t>
      </w:r>
      <w:r w:rsidR="009A0B54" w:rsidRPr="00947591">
        <w:rPr>
          <w:rFonts w:cs="Times New Roman"/>
          <w:i/>
          <w:sz w:val="24"/>
          <w:szCs w:val="24"/>
        </w:rPr>
        <w:t>, 25/17, 96/18, 103/18</w:t>
      </w:r>
      <w:r w:rsidR="00F149E4" w:rsidRPr="00947591">
        <w:rPr>
          <w:rFonts w:cs="Times New Roman"/>
          <w:i/>
          <w:sz w:val="24"/>
          <w:szCs w:val="24"/>
        </w:rPr>
        <w:t xml:space="preserve"> te ostalim pripadajućim propisima</w:t>
      </w:r>
      <w:r w:rsidR="009A0B54" w:rsidRPr="00947591">
        <w:rPr>
          <w:rFonts w:cs="Times New Roman"/>
          <w:sz w:val="24"/>
          <w:szCs w:val="24"/>
        </w:rPr>
        <w:t xml:space="preserve"> sastavlja</w:t>
      </w:r>
      <w:r w:rsidR="00F149E4" w:rsidRPr="00947591">
        <w:rPr>
          <w:rFonts w:cs="Times New Roman"/>
          <w:sz w:val="24"/>
          <w:szCs w:val="24"/>
        </w:rPr>
        <w:t xml:space="preserve"> i </w:t>
      </w:r>
      <w:r w:rsidR="009A0B54" w:rsidRPr="00947591">
        <w:rPr>
          <w:rFonts w:cs="Times New Roman"/>
          <w:sz w:val="24"/>
          <w:szCs w:val="24"/>
        </w:rPr>
        <w:t xml:space="preserve">financijski izvještaj </w:t>
      </w:r>
      <w:r w:rsidR="00F149E4" w:rsidRPr="00947591">
        <w:rPr>
          <w:rFonts w:cs="Times New Roman"/>
          <w:sz w:val="24"/>
          <w:szCs w:val="24"/>
        </w:rPr>
        <w:t>Bilješke uz financijska izvješća.</w:t>
      </w:r>
      <w:r w:rsidR="00F149E4" w:rsidRPr="00947591">
        <w:rPr>
          <w:rFonts w:cs="Times New Roman"/>
          <w:sz w:val="24"/>
          <w:szCs w:val="24"/>
        </w:rPr>
        <w:tab/>
      </w:r>
      <w:r w:rsidR="00F149E4" w:rsidRPr="00947591">
        <w:rPr>
          <w:rFonts w:cs="Times New Roman"/>
          <w:sz w:val="24"/>
          <w:szCs w:val="24"/>
        </w:rPr>
        <w:tab/>
      </w:r>
    </w:p>
    <w:p w:rsidR="001752E6" w:rsidRPr="00947591" w:rsidRDefault="00F149E4" w:rsidP="00620E49">
      <w:pPr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</w:rPr>
        <w:t xml:space="preserve">Bilješke su kombinacija opisnih i brojčanih podataka. Označavaju se rednim brojevima s pozivom na AOP oznaku izvještaja na koji se odnose – </w:t>
      </w:r>
      <w:r w:rsidR="009A0B54" w:rsidRPr="00947591">
        <w:rPr>
          <w:rFonts w:cs="Times New Roman"/>
          <w:sz w:val="24"/>
          <w:szCs w:val="24"/>
        </w:rPr>
        <w:t>Godišnji financijski izvještaj o primicima i izdacima</w:t>
      </w:r>
      <w:r w:rsidRPr="00947591">
        <w:rPr>
          <w:rFonts w:cs="Times New Roman"/>
          <w:sz w:val="24"/>
          <w:szCs w:val="24"/>
        </w:rPr>
        <w:t>.</w:t>
      </w:r>
      <w:r w:rsidRPr="00947591">
        <w:rPr>
          <w:rFonts w:cs="Times New Roman"/>
          <w:sz w:val="24"/>
          <w:szCs w:val="24"/>
        </w:rPr>
        <w:tab/>
      </w:r>
      <w:r w:rsidRPr="00947591">
        <w:rPr>
          <w:rFonts w:cs="Times New Roman"/>
          <w:sz w:val="24"/>
          <w:szCs w:val="24"/>
        </w:rPr>
        <w:tab/>
      </w:r>
      <w:r w:rsidRPr="00947591">
        <w:rPr>
          <w:rFonts w:cs="Times New Roman"/>
          <w:sz w:val="24"/>
          <w:szCs w:val="24"/>
        </w:rPr>
        <w:tab/>
      </w:r>
    </w:p>
    <w:p w:rsidR="001752E6" w:rsidRPr="00947591" w:rsidRDefault="00F149E4">
      <w:pPr>
        <w:jc w:val="both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 xml:space="preserve">Bilješke uz financijski izvještaj – </w:t>
      </w:r>
      <w:r w:rsidR="008532A0" w:rsidRPr="00947591">
        <w:rPr>
          <w:rFonts w:cs="Times New Roman"/>
          <w:b/>
          <w:sz w:val="24"/>
          <w:szCs w:val="24"/>
        </w:rPr>
        <w:t>Izvještaj o prihodima i rashodima</w:t>
      </w:r>
      <w:r w:rsidR="00E77F56" w:rsidRPr="00947591">
        <w:rPr>
          <w:rFonts w:cs="Times New Roman"/>
          <w:b/>
          <w:sz w:val="24"/>
          <w:szCs w:val="24"/>
        </w:rPr>
        <w:t xml:space="preserve"> z</w:t>
      </w:r>
      <w:r w:rsidR="003E3787" w:rsidRPr="00947591">
        <w:rPr>
          <w:rFonts w:cs="Times New Roman"/>
          <w:b/>
          <w:sz w:val="24"/>
          <w:szCs w:val="24"/>
        </w:rPr>
        <w:t>a razdoblje od 01.01.2021</w:t>
      </w:r>
      <w:r w:rsidR="00E77F56" w:rsidRPr="00947591">
        <w:rPr>
          <w:rFonts w:cs="Times New Roman"/>
          <w:b/>
          <w:sz w:val="24"/>
          <w:szCs w:val="24"/>
        </w:rPr>
        <w:t>. do 31.12.20</w:t>
      </w:r>
      <w:r w:rsidR="00345BD3" w:rsidRPr="00947591">
        <w:rPr>
          <w:rFonts w:cs="Times New Roman"/>
          <w:b/>
          <w:sz w:val="24"/>
          <w:szCs w:val="24"/>
        </w:rPr>
        <w:t>2</w:t>
      </w:r>
      <w:r w:rsidR="003E3787" w:rsidRPr="00947591">
        <w:rPr>
          <w:rFonts w:cs="Times New Roman"/>
          <w:b/>
          <w:sz w:val="24"/>
          <w:szCs w:val="24"/>
        </w:rPr>
        <w:t>1</w:t>
      </w:r>
      <w:r w:rsidRPr="00947591">
        <w:rPr>
          <w:rFonts w:cs="Times New Roman"/>
          <w:b/>
          <w:sz w:val="24"/>
          <w:szCs w:val="24"/>
        </w:rPr>
        <w:t>. godine</w:t>
      </w:r>
    </w:p>
    <w:p w:rsidR="001752E6" w:rsidRPr="00947591" w:rsidRDefault="00D05655">
      <w:pPr>
        <w:jc w:val="both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>PRI</w:t>
      </w:r>
      <w:r w:rsidR="008532A0" w:rsidRPr="00947591">
        <w:rPr>
          <w:rFonts w:cs="Times New Roman"/>
          <w:b/>
          <w:sz w:val="24"/>
          <w:szCs w:val="24"/>
        </w:rPr>
        <w:t>HODI</w:t>
      </w:r>
      <w:r w:rsidR="003E3787" w:rsidRPr="00947591">
        <w:rPr>
          <w:rFonts w:cs="Times New Roman"/>
          <w:b/>
          <w:sz w:val="24"/>
          <w:szCs w:val="24"/>
        </w:rPr>
        <w:t xml:space="preserve"> 2021</w:t>
      </w:r>
      <w:r w:rsidR="00F149E4" w:rsidRPr="00947591">
        <w:rPr>
          <w:rFonts w:cs="Times New Roman"/>
          <w:b/>
          <w:sz w:val="24"/>
          <w:szCs w:val="24"/>
        </w:rPr>
        <w:t>. GODINE</w:t>
      </w:r>
    </w:p>
    <w:p w:rsidR="001752E6" w:rsidRPr="00947591" w:rsidRDefault="00F149E4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1.</w:t>
      </w:r>
      <w:r w:rsidRPr="00947591">
        <w:rPr>
          <w:rFonts w:cs="Times New Roman"/>
          <w:sz w:val="24"/>
          <w:szCs w:val="24"/>
        </w:rPr>
        <w:t xml:space="preserve"> – AOP 001 – </w:t>
      </w:r>
      <w:r w:rsidR="003E3787" w:rsidRPr="00947591">
        <w:rPr>
          <w:rFonts w:cs="Times New Roman"/>
          <w:sz w:val="24"/>
          <w:szCs w:val="24"/>
        </w:rPr>
        <w:t>Ukupni prihodi za 2021</w:t>
      </w:r>
      <w:r w:rsidR="00995077" w:rsidRPr="00947591">
        <w:rPr>
          <w:rFonts w:cs="Times New Roman"/>
          <w:sz w:val="24"/>
          <w:szCs w:val="24"/>
        </w:rPr>
        <w:t xml:space="preserve">. godinu iznose </w:t>
      </w:r>
      <w:r w:rsidR="005A7D97" w:rsidRPr="00947591">
        <w:rPr>
          <w:rFonts w:cs="Times New Roman"/>
          <w:sz w:val="24"/>
          <w:szCs w:val="24"/>
        </w:rPr>
        <w:t>1.</w:t>
      </w:r>
      <w:r w:rsidR="003E3787" w:rsidRPr="00947591">
        <w:rPr>
          <w:rFonts w:cs="Times New Roman"/>
          <w:sz w:val="24"/>
          <w:szCs w:val="24"/>
        </w:rPr>
        <w:t>345</w:t>
      </w:r>
      <w:r w:rsidR="005A7D97" w:rsidRPr="00947591">
        <w:rPr>
          <w:rFonts w:cs="Times New Roman"/>
          <w:sz w:val="24"/>
          <w:szCs w:val="24"/>
        </w:rPr>
        <w:t>.</w:t>
      </w:r>
      <w:r w:rsidR="003E3787" w:rsidRPr="00947591">
        <w:rPr>
          <w:rFonts w:cs="Times New Roman"/>
          <w:sz w:val="24"/>
          <w:szCs w:val="24"/>
        </w:rPr>
        <w:t>651</w:t>
      </w:r>
      <w:r w:rsidR="005612A8" w:rsidRPr="00947591">
        <w:rPr>
          <w:rFonts w:cs="Times New Roman"/>
          <w:sz w:val="24"/>
          <w:szCs w:val="24"/>
        </w:rPr>
        <w:t>,00</w:t>
      </w:r>
      <w:r w:rsidR="005A7D97" w:rsidRPr="00947591">
        <w:rPr>
          <w:rFonts w:cs="Times New Roman"/>
          <w:sz w:val="24"/>
          <w:szCs w:val="24"/>
        </w:rPr>
        <w:t xml:space="preserve"> </w:t>
      </w:r>
      <w:r w:rsidR="00E77F56" w:rsidRPr="00947591">
        <w:rPr>
          <w:rFonts w:cs="Times New Roman"/>
          <w:sz w:val="24"/>
          <w:szCs w:val="24"/>
        </w:rPr>
        <w:t>kn u odnosu na 20</w:t>
      </w:r>
      <w:r w:rsidR="003E3787" w:rsidRPr="00947591">
        <w:rPr>
          <w:rFonts w:cs="Times New Roman"/>
          <w:sz w:val="24"/>
          <w:szCs w:val="24"/>
        </w:rPr>
        <w:t>20</w:t>
      </w:r>
      <w:r w:rsidR="00995077" w:rsidRPr="00947591">
        <w:rPr>
          <w:rFonts w:cs="Times New Roman"/>
          <w:sz w:val="24"/>
          <w:szCs w:val="24"/>
        </w:rPr>
        <w:t xml:space="preserve">. godinu kada su iznosili </w:t>
      </w:r>
      <w:r w:rsidR="005A7D97" w:rsidRPr="00947591">
        <w:rPr>
          <w:rFonts w:cs="Times New Roman"/>
          <w:sz w:val="24"/>
          <w:szCs w:val="24"/>
        </w:rPr>
        <w:t>1.</w:t>
      </w:r>
      <w:r w:rsidR="003E3787" w:rsidRPr="00947591">
        <w:rPr>
          <w:rFonts w:cs="Times New Roman"/>
          <w:sz w:val="24"/>
          <w:szCs w:val="24"/>
        </w:rPr>
        <w:t>104</w:t>
      </w:r>
      <w:r w:rsidR="005A7D97" w:rsidRPr="00947591">
        <w:rPr>
          <w:rFonts w:cs="Times New Roman"/>
          <w:sz w:val="24"/>
          <w:szCs w:val="24"/>
        </w:rPr>
        <w:t>.</w:t>
      </w:r>
      <w:r w:rsidR="003E3787" w:rsidRPr="00947591">
        <w:rPr>
          <w:rFonts w:cs="Times New Roman"/>
          <w:sz w:val="24"/>
          <w:szCs w:val="24"/>
        </w:rPr>
        <w:t>279</w:t>
      </w:r>
      <w:r w:rsidR="005612A8" w:rsidRPr="00947591">
        <w:rPr>
          <w:rFonts w:cs="Times New Roman"/>
          <w:sz w:val="24"/>
          <w:szCs w:val="24"/>
        </w:rPr>
        <w:t>,00</w:t>
      </w:r>
      <w:r w:rsidR="005A7D97" w:rsidRPr="00947591">
        <w:rPr>
          <w:rFonts w:cs="Times New Roman"/>
          <w:sz w:val="24"/>
          <w:szCs w:val="24"/>
        </w:rPr>
        <w:t xml:space="preserve"> </w:t>
      </w:r>
      <w:r w:rsidR="00E77F56" w:rsidRPr="00947591">
        <w:rPr>
          <w:rFonts w:cs="Times New Roman"/>
          <w:sz w:val="24"/>
          <w:szCs w:val="24"/>
        </w:rPr>
        <w:t xml:space="preserve"> </w:t>
      </w:r>
      <w:r w:rsidR="00995077" w:rsidRPr="00947591">
        <w:rPr>
          <w:rFonts w:cs="Times New Roman"/>
          <w:sz w:val="24"/>
          <w:szCs w:val="24"/>
        </w:rPr>
        <w:t>kn.</w:t>
      </w:r>
    </w:p>
    <w:p w:rsidR="001752E6" w:rsidRPr="00947591" w:rsidRDefault="00F149E4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2.</w:t>
      </w:r>
      <w:r w:rsidRPr="00947591">
        <w:rPr>
          <w:rFonts w:cs="Times New Roman"/>
          <w:sz w:val="24"/>
          <w:szCs w:val="24"/>
        </w:rPr>
        <w:t xml:space="preserve"> – AOP 002 – </w:t>
      </w:r>
      <w:r w:rsidR="00995077" w:rsidRPr="00947591">
        <w:rPr>
          <w:rFonts w:cs="Times New Roman"/>
          <w:sz w:val="24"/>
          <w:szCs w:val="24"/>
        </w:rPr>
        <w:t xml:space="preserve">Prihodi od prodaje robe i pružanja usluga iznose </w:t>
      </w:r>
      <w:r w:rsidR="005A7D97" w:rsidRPr="00947591">
        <w:rPr>
          <w:rFonts w:cs="Times New Roman"/>
          <w:sz w:val="24"/>
          <w:szCs w:val="24"/>
        </w:rPr>
        <w:t>15</w:t>
      </w:r>
      <w:r w:rsidR="00BD2B5C" w:rsidRPr="00947591">
        <w:rPr>
          <w:rFonts w:cs="Times New Roman"/>
          <w:sz w:val="24"/>
          <w:szCs w:val="24"/>
        </w:rPr>
        <w:t>.</w:t>
      </w:r>
      <w:r w:rsidR="005A7D97" w:rsidRPr="00947591">
        <w:rPr>
          <w:rFonts w:cs="Times New Roman"/>
          <w:sz w:val="24"/>
          <w:szCs w:val="24"/>
        </w:rPr>
        <w:t>0</w:t>
      </w:r>
      <w:r w:rsidR="00E77F56" w:rsidRPr="00947591">
        <w:rPr>
          <w:rFonts w:cs="Times New Roman"/>
          <w:sz w:val="24"/>
          <w:szCs w:val="24"/>
        </w:rPr>
        <w:t>00</w:t>
      </w:r>
      <w:r w:rsidR="00995077" w:rsidRPr="00947591">
        <w:rPr>
          <w:rFonts w:cs="Times New Roman"/>
          <w:sz w:val="24"/>
          <w:szCs w:val="24"/>
        </w:rPr>
        <w:t xml:space="preserve">,00 kn </w:t>
      </w:r>
      <w:r w:rsidR="003E3787" w:rsidRPr="00947591">
        <w:rPr>
          <w:rFonts w:cs="Times New Roman"/>
          <w:sz w:val="24"/>
          <w:szCs w:val="24"/>
        </w:rPr>
        <w:t xml:space="preserve">isto kao </w:t>
      </w:r>
      <w:r w:rsidR="00995077" w:rsidRPr="00947591">
        <w:rPr>
          <w:rFonts w:cs="Times New Roman"/>
          <w:sz w:val="24"/>
          <w:szCs w:val="24"/>
        </w:rPr>
        <w:t>u 20</w:t>
      </w:r>
      <w:r w:rsidR="003E3787" w:rsidRPr="00947591">
        <w:rPr>
          <w:rFonts w:cs="Times New Roman"/>
          <w:sz w:val="24"/>
          <w:szCs w:val="24"/>
        </w:rPr>
        <w:t>20</w:t>
      </w:r>
      <w:r w:rsidR="00995077" w:rsidRPr="00947591">
        <w:rPr>
          <w:rFonts w:cs="Times New Roman"/>
          <w:sz w:val="24"/>
          <w:szCs w:val="24"/>
        </w:rPr>
        <w:t>. godin</w:t>
      </w:r>
      <w:r w:rsidR="003E3787" w:rsidRPr="00947591">
        <w:rPr>
          <w:rFonts w:cs="Times New Roman"/>
          <w:sz w:val="24"/>
          <w:szCs w:val="24"/>
        </w:rPr>
        <w:t>i</w:t>
      </w:r>
      <w:r w:rsidR="00995077" w:rsidRPr="00947591">
        <w:rPr>
          <w:rFonts w:cs="Times New Roman"/>
          <w:sz w:val="24"/>
          <w:szCs w:val="24"/>
        </w:rPr>
        <w:t>. Odnose se na prihode od pružanja usluga iskazane AOP oznakom AOP 004.</w:t>
      </w:r>
    </w:p>
    <w:p w:rsidR="005A7D97" w:rsidRPr="00947591" w:rsidRDefault="005A7D97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3</w:t>
      </w:r>
      <w:r w:rsidRPr="00947591">
        <w:rPr>
          <w:rFonts w:cs="Times New Roman"/>
          <w:sz w:val="24"/>
          <w:szCs w:val="24"/>
        </w:rPr>
        <w:t>. – AOP 008 –Prihodi po posebnim propisima iznose ukupno za 202</w:t>
      </w:r>
      <w:r w:rsidR="003E3787" w:rsidRPr="00947591">
        <w:rPr>
          <w:rFonts w:cs="Times New Roman"/>
          <w:sz w:val="24"/>
          <w:szCs w:val="24"/>
        </w:rPr>
        <w:t>1</w:t>
      </w:r>
      <w:r w:rsidRPr="00947591">
        <w:rPr>
          <w:rFonts w:cs="Times New Roman"/>
          <w:sz w:val="24"/>
          <w:szCs w:val="24"/>
        </w:rPr>
        <w:t xml:space="preserve">. godinu </w:t>
      </w:r>
      <w:r w:rsidR="003E3787" w:rsidRPr="00947591">
        <w:rPr>
          <w:rFonts w:cs="Times New Roman"/>
          <w:sz w:val="24"/>
          <w:szCs w:val="24"/>
        </w:rPr>
        <w:t>1.</w:t>
      </w:r>
      <w:r w:rsidRPr="00947591">
        <w:rPr>
          <w:rFonts w:cs="Times New Roman"/>
          <w:sz w:val="24"/>
          <w:szCs w:val="24"/>
        </w:rPr>
        <w:t>22</w:t>
      </w:r>
      <w:r w:rsidR="003E3787" w:rsidRPr="00947591">
        <w:rPr>
          <w:rFonts w:cs="Times New Roman"/>
          <w:sz w:val="24"/>
          <w:szCs w:val="24"/>
        </w:rPr>
        <w:t>4</w:t>
      </w:r>
      <w:r w:rsidRPr="00947591">
        <w:rPr>
          <w:rFonts w:cs="Times New Roman"/>
          <w:sz w:val="24"/>
          <w:szCs w:val="24"/>
        </w:rPr>
        <w:t>.</w:t>
      </w:r>
      <w:r w:rsidR="003E3787" w:rsidRPr="00947591">
        <w:rPr>
          <w:rFonts w:cs="Times New Roman"/>
          <w:sz w:val="24"/>
          <w:szCs w:val="24"/>
        </w:rPr>
        <w:t>0</w:t>
      </w:r>
      <w:r w:rsidRPr="00947591">
        <w:rPr>
          <w:rFonts w:cs="Times New Roman"/>
          <w:sz w:val="24"/>
          <w:szCs w:val="24"/>
        </w:rPr>
        <w:t>00,00 kn u odnosu na 20</w:t>
      </w:r>
      <w:r w:rsidR="003E3787" w:rsidRPr="00947591">
        <w:rPr>
          <w:rFonts w:cs="Times New Roman"/>
          <w:sz w:val="24"/>
          <w:szCs w:val="24"/>
        </w:rPr>
        <w:t>20</w:t>
      </w:r>
      <w:r w:rsidRPr="00947591">
        <w:rPr>
          <w:rFonts w:cs="Times New Roman"/>
          <w:sz w:val="24"/>
          <w:szCs w:val="24"/>
        </w:rPr>
        <w:t xml:space="preserve">. godinu kada su iznosili </w:t>
      </w:r>
      <w:r w:rsidR="003E3787" w:rsidRPr="00947591">
        <w:rPr>
          <w:rFonts w:cs="Times New Roman"/>
          <w:sz w:val="24"/>
          <w:szCs w:val="24"/>
        </w:rPr>
        <w:t>922</w:t>
      </w:r>
      <w:r w:rsidRPr="00947591">
        <w:rPr>
          <w:rFonts w:cs="Times New Roman"/>
          <w:sz w:val="24"/>
          <w:szCs w:val="24"/>
        </w:rPr>
        <w:t>.</w:t>
      </w:r>
      <w:r w:rsidR="003E3787" w:rsidRPr="00947591">
        <w:rPr>
          <w:rFonts w:cs="Times New Roman"/>
          <w:sz w:val="24"/>
          <w:szCs w:val="24"/>
        </w:rPr>
        <w:t>200</w:t>
      </w:r>
      <w:r w:rsidRPr="00947591">
        <w:rPr>
          <w:rFonts w:cs="Times New Roman"/>
          <w:sz w:val="24"/>
          <w:szCs w:val="24"/>
        </w:rPr>
        <w:t>,00</w:t>
      </w:r>
      <w:r w:rsidR="005612A8" w:rsidRPr="00947591">
        <w:rPr>
          <w:rFonts w:cs="Times New Roman"/>
          <w:sz w:val="24"/>
          <w:szCs w:val="24"/>
        </w:rPr>
        <w:t xml:space="preserve"> kn</w:t>
      </w:r>
      <w:r w:rsidRPr="00947591">
        <w:rPr>
          <w:rFonts w:cs="Times New Roman"/>
          <w:sz w:val="24"/>
          <w:szCs w:val="24"/>
        </w:rPr>
        <w:t xml:space="preserve">. </w:t>
      </w:r>
      <w:r w:rsidR="00F41CA0" w:rsidRPr="00947591">
        <w:rPr>
          <w:rFonts w:cs="Times New Roman"/>
          <w:sz w:val="24"/>
          <w:szCs w:val="24"/>
        </w:rPr>
        <w:t>Sastoje se od prihoda od donacija iz proračuna pod AOP oznakom 010 koji se sastoje od prihoda od donacija iz proračuna jedinica lokalne i područne (regionalne) na temelju sklopljenog ugovora o korištenju sredstava za provedbu godišnjeg programa rada Zajednice sportskih udruga Grada Pazina za 2021. godinu sa Gradom Pazinom.</w:t>
      </w:r>
    </w:p>
    <w:p w:rsidR="00AA3974" w:rsidRPr="00947591" w:rsidRDefault="00AA3974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lastRenderedPageBreak/>
        <w:t xml:space="preserve">Bilješka redni broj </w:t>
      </w:r>
      <w:r w:rsidR="005A7D97" w:rsidRPr="00947591">
        <w:rPr>
          <w:rFonts w:cs="Times New Roman"/>
          <w:sz w:val="24"/>
          <w:szCs w:val="24"/>
          <w:u w:val="single"/>
        </w:rPr>
        <w:t>4</w:t>
      </w:r>
      <w:r w:rsidRPr="00947591">
        <w:rPr>
          <w:rFonts w:cs="Times New Roman"/>
          <w:sz w:val="24"/>
          <w:szCs w:val="24"/>
          <w:u w:val="single"/>
        </w:rPr>
        <w:t>.</w:t>
      </w:r>
      <w:r w:rsidRPr="00947591">
        <w:rPr>
          <w:rFonts w:cs="Times New Roman"/>
          <w:sz w:val="24"/>
          <w:szCs w:val="24"/>
        </w:rPr>
        <w:t xml:space="preserve"> – AOP 0</w:t>
      </w:r>
      <w:r w:rsidR="00BD2B5C" w:rsidRPr="00947591">
        <w:rPr>
          <w:rFonts w:cs="Times New Roman"/>
          <w:sz w:val="24"/>
          <w:szCs w:val="24"/>
        </w:rPr>
        <w:t>11 – Prihodi od imovine i</w:t>
      </w:r>
      <w:r w:rsidR="005A7D97" w:rsidRPr="00947591">
        <w:rPr>
          <w:rFonts w:cs="Times New Roman"/>
          <w:sz w:val="24"/>
          <w:szCs w:val="24"/>
        </w:rPr>
        <w:t xml:space="preserve">znose </w:t>
      </w:r>
      <w:r w:rsidR="003E3787" w:rsidRPr="00947591">
        <w:rPr>
          <w:rFonts w:cs="Times New Roman"/>
          <w:sz w:val="24"/>
          <w:szCs w:val="24"/>
        </w:rPr>
        <w:t>328</w:t>
      </w:r>
      <w:r w:rsidR="004A6E5E" w:rsidRPr="00947591">
        <w:rPr>
          <w:rFonts w:cs="Times New Roman"/>
          <w:sz w:val="24"/>
          <w:szCs w:val="24"/>
        </w:rPr>
        <w:t xml:space="preserve">,00 </w:t>
      </w:r>
      <w:r w:rsidR="005A7D97" w:rsidRPr="00947591">
        <w:rPr>
          <w:rFonts w:cs="Times New Roman"/>
          <w:sz w:val="24"/>
          <w:szCs w:val="24"/>
        </w:rPr>
        <w:t>kn u odnosu na 20</w:t>
      </w:r>
      <w:r w:rsidR="003E3787" w:rsidRPr="00947591">
        <w:rPr>
          <w:rFonts w:cs="Times New Roman"/>
          <w:sz w:val="24"/>
          <w:szCs w:val="24"/>
        </w:rPr>
        <w:t>20</w:t>
      </w:r>
      <w:r w:rsidRPr="00947591">
        <w:rPr>
          <w:rFonts w:cs="Times New Roman"/>
          <w:sz w:val="24"/>
          <w:szCs w:val="24"/>
        </w:rPr>
        <w:t xml:space="preserve">. godinu kada su iznosili </w:t>
      </w:r>
      <w:r w:rsidR="003E3787" w:rsidRPr="00947591">
        <w:rPr>
          <w:rFonts w:cs="Times New Roman"/>
          <w:sz w:val="24"/>
          <w:szCs w:val="24"/>
        </w:rPr>
        <w:t>214</w:t>
      </w:r>
      <w:r w:rsidRPr="00947591">
        <w:rPr>
          <w:rFonts w:cs="Times New Roman"/>
          <w:sz w:val="24"/>
          <w:szCs w:val="24"/>
        </w:rPr>
        <w:t>,00 kn. Odnose se na prihode od kamata iskazane AOP oznakom 015.</w:t>
      </w:r>
    </w:p>
    <w:p w:rsidR="00F41CA0" w:rsidRPr="00947591" w:rsidRDefault="00F41CA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5</w:t>
      </w:r>
      <w:r w:rsidR="009900DB" w:rsidRPr="00947591">
        <w:rPr>
          <w:rFonts w:cs="Times New Roman"/>
          <w:sz w:val="24"/>
          <w:szCs w:val="24"/>
        </w:rPr>
        <w:t xml:space="preserve">. </w:t>
      </w:r>
      <w:r w:rsidR="001657F3" w:rsidRPr="00947591">
        <w:rPr>
          <w:rFonts w:cs="Times New Roman"/>
          <w:sz w:val="24"/>
          <w:szCs w:val="24"/>
        </w:rPr>
        <w:t>–</w:t>
      </w:r>
      <w:r w:rsidR="00995077" w:rsidRPr="00947591">
        <w:rPr>
          <w:rFonts w:cs="Times New Roman"/>
          <w:sz w:val="24"/>
          <w:szCs w:val="24"/>
        </w:rPr>
        <w:t xml:space="preserve"> AOP 02</w:t>
      </w:r>
      <w:r w:rsidR="009900DB" w:rsidRPr="00947591">
        <w:rPr>
          <w:rFonts w:cs="Times New Roman"/>
          <w:sz w:val="24"/>
          <w:szCs w:val="24"/>
        </w:rPr>
        <w:t>4</w:t>
      </w:r>
      <w:r w:rsidR="00F149E4" w:rsidRPr="00947591">
        <w:rPr>
          <w:rFonts w:cs="Times New Roman"/>
          <w:sz w:val="24"/>
          <w:szCs w:val="24"/>
        </w:rPr>
        <w:t xml:space="preserve"> </w:t>
      </w:r>
      <w:r w:rsidR="009900DB" w:rsidRPr="00947591">
        <w:rPr>
          <w:rFonts w:cs="Times New Roman"/>
          <w:sz w:val="24"/>
          <w:szCs w:val="24"/>
        </w:rPr>
        <w:t>–</w:t>
      </w:r>
      <w:r w:rsidR="00020001" w:rsidRPr="00947591">
        <w:rPr>
          <w:rFonts w:cs="Times New Roman"/>
          <w:sz w:val="24"/>
          <w:szCs w:val="24"/>
        </w:rPr>
        <w:t>Prihodi o</w:t>
      </w:r>
      <w:r w:rsidR="005A7D97" w:rsidRPr="00947591">
        <w:rPr>
          <w:rFonts w:cs="Times New Roman"/>
          <w:sz w:val="24"/>
          <w:szCs w:val="24"/>
        </w:rPr>
        <w:t>d donacija iznose ukupno za 202</w:t>
      </w:r>
      <w:r w:rsidR="003E3787" w:rsidRPr="00947591">
        <w:rPr>
          <w:rFonts w:cs="Times New Roman"/>
          <w:sz w:val="24"/>
          <w:szCs w:val="24"/>
        </w:rPr>
        <w:t>1</w:t>
      </w:r>
      <w:r w:rsidR="00020001" w:rsidRPr="00947591">
        <w:rPr>
          <w:rFonts w:cs="Times New Roman"/>
          <w:sz w:val="24"/>
          <w:szCs w:val="24"/>
        </w:rPr>
        <w:t xml:space="preserve">. godinu </w:t>
      </w:r>
      <w:r w:rsidR="003E3787" w:rsidRPr="00947591">
        <w:rPr>
          <w:rFonts w:cs="Times New Roman"/>
          <w:sz w:val="24"/>
          <w:szCs w:val="24"/>
        </w:rPr>
        <w:t>101</w:t>
      </w:r>
      <w:r w:rsidR="004A6E5E" w:rsidRPr="00947591">
        <w:rPr>
          <w:rFonts w:cs="Times New Roman"/>
          <w:sz w:val="24"/>
          <w:szCs w:val="24"/>
        </w:rPr>
        <w:t>.</w:t>
      </w:r>
      <w:r w:rsidR="003E3787" w:rsidRPr="00947591">
        <w:rPr>
          <w:rFonts w:cs="Times New Roman"/>
          <w:sz w:val="24"/>
          <w:szCs w:val="24"/>
        </w:rPr>
        <w:t>823</w:t>
      </w:r>
      <w:r w:rsidR="004A6E5E" w:rsidRPr="00947591">
        <w:rPr>
          <w:rFonts w:cs="Times New Roman"/>
          <w:sz w:val="24"/>
          <w:szCs w:val="24"/>
        </w:rPr>
        <w:t>,00 kn u odnosu na 20</w:t>
      </w:r>
      <w:r w:rsidR="003E3787" w:rsidRPr="00947591">
        <w:rPr>
          <w:rFonts w:cs="Times New Roman"/>
          <w:sz w:val="24"/>
          <w:szCs w:val="24"/>
        </w:rPr>
        <w:t>20</w:t>
      </w:r>
      <w:r w:rsidR="00020001" w:rsidRPr="00947591">
        <w:rPr>
          <w:rFonts w:cs="Times New Roman"/>
          <w:sz w:val="24"/>
          <w:szCs w:val="24"/>
        </w:rPr>
        <w:t>.</w:t>
      </w:r>
      <w:r w:rsidR="00AA3974" w:rsidRPr="00947591">
        <w:rPr>
          <w:rFonts w:cs="Times New Roman"/>
          <w:sz w:val="24"/>
          <w:szCs w:val="24"/>
        </w:rPr>
        <w:t xml:space="preserve"> godinu kada su iznosili </w:t>
      </w:r>
      <w:r w:rsidR="005A7D97" w:rsidRPr="00947591">
        <w:rPr>
          <w:rFonts w:cs="Times New Roman"/>
          <w:sz w:val="24"/>
          <w:szCs w:val="24"/>
        </w:rPr>
        <w:t>1</w:t>
      </w:r>
      <w:r w:rsidR="003E3787" w:rsidRPr="00947591">
        <w:rPr>
          <w:rFonts w:cs="Times New Roman"/>
          <w:sz w:val="24"/>
          <w:szCs w:val="24"/>
        </w:rPr>
        <w:t>63</w:t>
      </w:r>
      <w:r w:rsidR="005A7D97" w:rsidRPr="00947591">
        <w:rPr>
          <w:rFonts w:cs="Times New Roman"/>
          <w:sz w:val="24"/>
          <w:szCs w:val="24"/>
        </w:rPr>
        <w:t>.</w:t>
      </w:r>
      <w:r w:rsidR="003E3787" w:rsidRPr="00947591">
        <w:rPr>
          <w:rFonts w:cs="Times New Roman"/>
          <w:sz w:val="24"/>
          <w:szCs w:val="24"/>
        </w:rPr>
        <w:t>115</w:t>
      </w:r>
      <w:r w:rsidR="005A7D97" w:rsidRPr="00947591">
        <w:rPr>
          <w:rFonts w:cs="Times New Roman"/>
          <w:sz w:val="24"/>
          <w:szCs w:val="24"/>
        </w:rPr>
        <w:t>,00</w:t>
      </w:r>
      <w:r w:rsidR="005612A8" w:rsidRPr="00947591">
        <w:rPr>
          <w:rFonts w:cs="Times New Roman"/>
          <w:sz w:val="24"/>
          <w:szCs w:val="24"/>
        </w:rPr>
        <w:t xml:space="preserve"> kn</w:t>
      </w:r>
      <w:r w:rsidR="00020001" w:rsidRPr="00947591">
        <w:rPr>
          <w:rFonts w:cs="Times New Roman"/>
          <w:sz w:val="24"/>
          <w:szCs w:val="24"/>
        </w:rPr>
        <w:t xml:space="preserve">. Sastoje se od </w:t>
      </w:r>
      <w:r w:rsidR="00B954EB" w:rsidRPr="00947591">
        <w:rPr>
          <w:rFonts w:cs="Times New Roman"/>
          <w:sz w:val="24"/>
          <w:szCs w:val="24"/>
        </w:rPr>
        <w:t xml:space="preserve">prihoda od donacija </w:t>
      </w:r>
      <w:r w:rsidR="003E3787" w:rsidRPr="00947591">
        <w:rPr>
          <w:rFonts w:cs="Times New Roman"/>
          <w:sz w:val="24"/>
          <w:szCs w:val="24"/>
        </w:rPr>
        <w:t xml:space="preserve">iz državnog proračuna u iznosu od 76.823,00 kn, kojih u 2020. godini nije bilo, a prihodi </w:t>
      </w:r>
      <w:r w:rsidRPr="00947591">
        <w:rPr>
          <w:rFonts w:cs="Times New Roman"/>
          <w:sz w:val="24"/>
          <w:szCs w:val="24"/>
        </w:rPr>
        <w:t xml:space="preserve">od </w:t>
      </w:r>
      <w:r w:rsidR="005612A8" w:rsidRPr="00947591">
        <w:rPr>
          <w:rFonts w:cs="Times New Roman"/>
          <w:sz w:val="24"/>
          <w:szCs w:val="24"/>
        </w:rPr>
        <w:t>donacija iz proračuna jedinica lokalne i područne samouprave za EU projekte</w:t>
      </w:r>
      <w:r w:rsidRPr="00947591">
        <w:rPr>
          <w:rFonts w:cs="Times New Roman"/>
          <w:sz w:val="24"/>
          <w:szCs w:val="24"/>
        </w:rPr>
        <w:t xml:space="preserve"> u 202</w:t>
      </w:r>
      <w:r w:rsidR="003E3787" w:rsidRPr="00947591">
        <w:rPr>
          <w:rFonts w:cs="Times New Roman"/>
          <w:sz w:val="24"/>
          <w:szCs w:val="24"/>
        </w:rPr>
        <w:t>1</w:t>
      </w:r>
      <w:r w:rsidRPr="00947591">
        <w:rPr>
          <w:rFonts w:cs="Times New Roman"/>
          <w:sz w:val="24"/>
          <w:szCs w:val="24"/>
        </w:rPr>
        <w:t xml:space="preserve">. godini </w:t>
      </w:r>
      <w:r w:rsidR="003E3787" w:rsidRPr="00947591">
        <w:rPr>
          <w:rFonts w:cs="Times New Roman"/>
          <w:sz w:val="24"/>
          <w:szCs w:val="24"/>
        </w:rPr>
        <w:t xml:space="preserve">nije bilo dok su u 2020. godini iznosili </w:t>
      </w:r>
      <w:r w:rsidRPr="00947591">
        <w:rPr>
          <w:rFonts w:cs="Times New Roman"/>
          <w:sz w:val="24"/>
          <w:szCs w:val="24"/>
        </w:rPr>
        <w:t>79.000,00 kn</w:t>
      </w:r>
      <w:r w:rsidR="003E3787" w:rsidRPr="00947591">
        <w:rPr>
          <w:rFonts w:cs="Times New Roman"/>
          <w:sz w:val="24"/>
          <w:szCs w:val="24"/>
        </w:rPr>
        <w:t>, prihodi od inozemnih vlada i međunarodnih organizacija iznosili su u 2020. godini 73.068,00 dok ih u 2021.</w:t>
      </w:r>
      <w:r w:rsidR="005612A8" w:rsidRPr="00947591">
        <w:rPr>
          <w:rFonts w:cs="Times New Roman"/>
          <w:sz w:val="24"/>
          <w:szCs w:val="24"/>
        </w:rPr>
        <w:t xml:space="preserve"> </w:t>
      </w:r>
      <w:r w:rsidR="003E3787" w:rsidRPr="00947591">
        <w:rPr>
          <w:rFonts w:cs="Times New Roman"/>
          <w:sz w:val="24"/>
          <w:szCs w:val="24"/>
        </w:rPr>
        <w:t>godini nije bilo</w:t>
      </w:r>
      <w:r w:rsidR="00A552AA" w:rsidRPr="00947591">
        <w:rPr>
          <w:rFonts w:cs="Times New Roman"/>
          <w:sz w:val="24"/>
          <w:szCs w:val="24"/>
        </w:rPr>
        <w:t>,</w:t>
      </w:r>
      <w:r w:rsidR="003E3787" w:rsidRPr="00947591">
        <w:rPr>
          <w:rFonts w:cs="Times New Roman"/>
          <w:sz w:val="24"/>
          <w:szCs w:val="24"/>
        </w:rPr>
        <w:t xml:space="preserve"> </w:t>
      </w:r>
      <w:r w:rsidR="00A552AA" w:rsidRPr="00947591">
        <w:rPr>
          <w:rFonts w:cs="Times New Roman"/>
          <w:sz w:val="24"/>
          <w:szCs w:val="24"/>
        </w:rPr>
        <w:t>prihodi od trgovačkih društava i ostalih pravnih osoba iznosila su 25.000,00 kn</w:t>
      </w:r>
      <w:r w:rsidR="006C6BD4" w:rsidRPr="00947591">
        <w:rPr>
          <w:rFonts w:cs="Times New Roman"/>
          <w:sz w:val="24"/>
          <w:szCs w:val="24"/>
        </w:rPr>
        <w:t xml:space="preserve"> u 202</w:t>
      </w:r>
      <w:r w:rsidR="00A552AA" w:rsidRPr="00947591">
        <w:rPr>
          <w:rFonts w:cs="Times New Roman"/>
          <w:sz w:val="24"/>
          <w:szCs w:val="24"/>
        </w:rPr>
        <w:t>1</w:t>
      </w:r>
      <w:r w:rsidR="006C6BD4" w:rsidRPr="00947591">
        <w:rPr>
          <w:rFonts w:cs="Times New Roman"/>
          <w:sz w:val="24"/>
          <w:szCs w:val="24"/>
        </w:rPr>
        <w:t xml:space="preserve">. godini </w:t>
      </w:r>
      <w:r w:rsidR="00A552AA" w:rsidRPr="00947591">
        <w:rPr>
          <w:rFonts w:cs="Times New Roman"/>
          <w:sz w:val="24"/>
          <w:szCs w:val="24"/>
        </w:rPr>
        <w:t>dok su u 2020. godini iznosili 5.492,00 kn</w:t>
      </w:r>
      <w:r w:rsidR="00F761AE" w:rsidRPr="00947591">
        <w:rPr>
          <w:rFonts w:cs="Times New Roman"/>
          <w:sz w:val="24"/>
          <w:szCs w:val="24"/>
        </w:rPr>
        <w:t xml:space="preserve"> i ostali prihodi od donacija za EU projekte u 2020. godini iznosili su 5.555,00 kn, dok u 2021. godini nije bilo prihoda</w:t>
      </w:r>
      <w:r w:rsidR="00A552AA" w:rsidRPr="00947591">
        <w:rPr>
          <w:rFonts w:cs="Times New Roman"/>
          <w:sz w:val="24"/>
          <w:szCs w:val="24"/>
        </w:rPr>
        <w:t>.</w:t>
      </w:r>
    </w:p>
    <w:p w:rsidR="00864B4E" w:rsidRPr="00947591" w:rsidRDefault="006C6BD4" w:rsidP="006C6BD4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</w:t>
      </w:r>
      <w:r w:rsidR="00BD2B5C" w:rsidRPr="00947591">
        <w:rPr>
          <w:rFonts w:cs="Times New Roman"/>
          <w:sz w:val="24"/>
          <w:szCs w:val="24"/>
          <w:u w:val="single"/>
        </w:rPr>
        <w:t>ilješka redn</w:t>
      </w:r>
      <w:r w:rsidRPr="00947591">
        <w:rPr>
          <w:rFonts w:cs="Times New Roman"/>
          <w:sz w:val="24"/>
          <w:szCs w:val="24"/>
          <w:u w:val="single"/>
        </w:rPr>
        <w:t>i broj 6</w:t>
      </w:r>
      <w:r w:rsidR="00BD2B5C" w:rsidRPr="00947591">
        <w:rPr>
          <w:rFonts w:cs="Times New Roman"/>
          <w:sz w:val="24"/>
          <w:szCs w:val="24"/>
          <w:u w:val="single"/>
        </w:rPr>
        <w:t>.</w:t>
      </w:r>
      <w:r w:rsidRPr="00947591">
        <w:rPr>
          <w:rFonts w:cs="Times New Roman"/>
          <w:sz w:val="24"/>
          <w:szCs w:val="24"/>
        </w:rPr>
        <w:t xml:space="preserve"> – AOP 040</w:t>
      </w:r>
      <w:r w:rsidR="00BD2B5C" w:rsidRPr="00947591">
        <w:rPr>
          <w:rFonts w:cs="Times New Roman"/>
          <w:sz w:val="24"/>
          <w:szCs w:val="24"/>
        </w:rPr>
        <w:t xml:space="preserve"> – O</w:t>
      </w:r>
      <w:r w:rsidR="004A6E5E" w:rsidRPr="00947591">
        <w:rPr>
          <w:rFonts w:cs="Times New Roman"/>
          <w:sz w:val="24"/>
          <w:szCs w:val="24"/>
        </w:rPr>
        <w:t>stali</w:t>
      </w:r>
      <w:r w:rsidR="00F761AE" w:rsidRPr="00947591">
        <w:rPr>
          <w:rFonts w:cs="Times New Roman"/>
          <w:sz w:val="24"/>
          <w:szCs w:val="24"/>
        </w:rPr>
        <w:t>h prihoda</w:t>
      </w:r>
      <w:r w:rsidR="004A6E5E" w:rsidRPr="00947591">
        <w:rPr>
          <w:rFonts w:cs="Times New Roman"/>
          <w:sz w:val="24"/>
          <w:szCs w:val="24"/>
        </w:rPr>
        <w:t xml:space="preserve"> u 20</w:t>
      </w:r>
      <w:r w:rsidRPr="00947591">
        <w:rPr>
          <w:rFonts w:cs="Times New Roman"/>
          <w:sz w:val="24"/>
          <w:szCs w:val="24"/>
        </w:rPr>
        <w:t>2</w:t>
      </w:r>
      <w:r w:rsidR="003E3787" w:rsidRPr="00947591">
        <w:rPr>
          <w:rFonts w:cs="Times New Roman"/>
          <w:sz w:val="24"/>
          <w:szCs w:val="24"/>
        </w:rPr>
        <w:t>1</w:t>
      </w:r>
      <w:r w:rsidR="00BD2B5C" w:rsidRPr="00947591">
        <w:rPr>
          <w:rFonts w:cs="Times New Roman"/>
          <w:sz w:val="24"/>
          <w:szCs w:val="24"/>
        </w:rPr>
        <w:t xml:space="preserve">. godini </w:t>
      </w:r>
      <w:r w:rsidR="00A552AA" w:rsidRPr="00947591">
        <w:rPr>
          <w:rFonts w:cs="Times New Roman"/>
          <w:sz w:val="24"/>
          <w:szCs w:val="24"/>
        </w:rPr>
        <w:t>nije bilo a u</w:t>
      </w:r>
      <w:r w:rsidRPr="00947591">
        <w:rPr>
          <w:rFonts w:cs="Times New Roman"/>
          <w:sz w:val="24"/>
          <w:szCs w:val="24"/>
        </w:rPr>
        <w:t xml:space="preserve"> 20</w:t>
      </w:r>
      <w:r w:rsidR="00A552AA" w:rsidRPr="00947591">
        <w:rPr>
          <w:rFonts w:cs="Times New Roman"/>
          <w:sz w:val="24"/>
          <w:szCs w:val="24"/>
        </w:rPr>
        <w:t>20</w:t>
      </w:r>
      <w:r w:rsidR="00864B4E" w:rsidRPr="00947591">
        <w:rPr>
          <w:rFonts w:cs="Times New Roman"/>
          <w:sz w:val="24"/>
          <w:szCs w:val="24"/>
        </w:rPr>
        <w:t>. godin</w:t>
      </w:r>
      <w:r w:rsidR="00A552AA" w:rsidRPr="00947591">
        <w:rPr>
          <w:rFonts w:cs="Times New Roman"/>
          <w:sz w:val="24"/>
          <w:szCs w:val="24"/>
        </w:rPr>
        <w:t>i</w:t>
      </w:r>
      <w:r w:rsidR="00864B4E" w:rsidRPr="00947591">
        <w:rPr>
          <w:rFonts w:cs="Times New Roman"/>
          <w:sz w:val="24"/>
          <w:szCs w:val="24"/>
        </w:rPr>
        <w:t xml:space="preserve"> iznosili</w:t>
      </w:r>
      <w:r w:rsidR="00A552AA" w:rsidRPr="00947591">
        <w:rPr>
          <w:rFonts w:cs="Times New Roman"/>
          <w:sz w:val="24"/>
          <w:szCs w:val="24"/>
        </w:rPr>
        <w:t xml:space="preserve"> su</w:t>
      </w:r>
      <w:r w:rsidR="00864B4E" w:rsidRPr="00947591">
        <w:rPr>
          <w:rFonts w:cs="Times New Roman"/>
          <w:sz w:val="24"/>
          <w:szCs w:val="24"/>
        </w:rPr>
        <w:t xml:space="preserve"> </w:t>
      </w:r>
      <w:r w:rsidR="00A552AA" w:rsidRPr="00947591">
        <w:rPr>
          <w:rFonts w:cs="Times New Roman"/>
          <w:sz w:val="24"/>
          <w:szCs w:val="24"/>
        </w:rPr>
        <w:t>3</w:t>
      </w:r>
      <w:r w:rsidR="004A6E5E" w:rsidRPr="00947591">
        <w:rPr>
          <w:rFonts w:cs="Times New Roman"/>
          <w:sz w:val="24"/>
          <w:szCs w:val="24"/>
        </w:rPr>
        <w:t>.</w:t>
      </w:r>
      <w:r w:rsidR="00A552AA" w:rsidRPr="00947591">
        <w:rPr>
          <w:rFonts w:cs="Times New Roman"/>
          <w:sz w:val="24"/>
          <w:szCs w:val="24"/>
        </w:rPr>
        <w:t>750</w:t>
      </w:r>
      <w:r w:rsidR="004A6E5E" w:rsidRPr="00947591">
        <w:rPr>
          <w:rFonts w:cs="Times New Roman"/>
          <w:sz w:val="24"/>
          <w:szCs w:val="24"/>
        </w:rPr>
        <w:t xml:space="preserve">,00 </w:t>
      </w:r>
      <w:r w:rsidR="00864B4E" w:rsidRPr="00947591">
        <w:rPr>
          <w:rFonts w:cs="Times New Roman"/>
          <w:sz w:val="24"/>
          <w:szCs w:val="24"/>
        </w:rPr>
        <w:t xml:space="preserve">kn, a odnose se na prihode od naknade šteta osiguravajućeg društva za kombi vozila u vlasništvu Zajednice sportskih udruga Grada </w:t>
      </w:r>
      <w:r w:rsidR="00A552AA" w:rsidRPr="00947591">
        <w:rPr>
          <w:rFonts w:cs="Times New Roman"/>
          <w:sz w:val="24"/>
          <w:szCs w:val="24"/>
        </w:rPr>
        <w:t>Pazina iskazano AOP oznakom 042</w:t>
      </w:r>
      <w:r w:rsidR="00F761AE" w:rsidRPr="00947591">
        <w:rPr>
          <w:rFonts w:cs="Times New Roman"/>
          <w:sz w:val="24"/>
          <w:szCs w:val="24"/>
        </w:rPr>
        <w:t>.</w:t>
      </w:r>
    </w:p>
    <w:p w:rsidR="00A552AA" w:rsidRPr="00947591" w:rsidRDefault="00A552AA" w:rsidP="006C6BD4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7.</w:t>
      </w:r>
      <w:r w:rsidRPr="00947591">
        <w:rPr>
          <w:rFonts w:cs="Times New Roman"/>
          <w:sz w:val="24"/>
          <w:szCs w:val="24"/>
        </w:rPr>
        <w:t xml:space="preserve"> – AOP 049 - prihodi od povezanih neprofitnih organizacija iznose 4.500 u 2021. godini, a u 2020. godinu nije ih bilo</w:t>
      </w:r>
      <w:r w:rsidR="00F761AE" w:rsidRPr="00947591">
        <w:rPr>
          <w:rFonts w:cs="Times New Roman"/>
          <w:sz w:val="24"/>
          <w:szCs w:val="24"/>
        </w:rPr>
        <w:t>, to se odnosi na prihode od Saveza sportova Istarske županije</w:t>
      </w:r>
      <w:r w:rsidRPr="00947591">
        <w:rPr>
          <w:rFonts w:cs="Times New Roman"/>
          <w:sz w:val="24"/>
          <w:szCs w:val="24"/>
        </w:rPr>
        <w:t>.</w:t>
      </w:r>
    </w:p>
    <w:p w:rsidR="004409C4" w:rsidRPr="00947591" w:rsidRDefault="004409C4" w:rsidP="004409C4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620E49" w:rsidRPr="00947591" w:rsidRDefault="00620E49" w:rsidP="00620E49">
      <w:pPr>
        <w:pStyle w:val="Opisslike"/>
        <w:keepNext/>
        <w:jc w:val="both"/>
        <w:rPr>
          <w:rFonts w:cs="Times New Roman"/>
          <w:i w:val="0"/>
          <w:color w:val="auto"/>
          <w:sz w:val="24"/>
          <w:szCs w:val="24"/>
        </w:rPr>
      </w:pPr>
      <w:r w:rsidRPr="00947591">
        <w:rPr>
          <w:rFonts w:cs="Times New Roman"/>
          <w:i w:val="0"/>
          <w:color w:val="auto"/>
          <w:sz w:val="24"/>
          <w:szCs w:val="24"/>
        </w:rPr>
        <w:t xml:space="preserve">Grafikon </w:t>
      </w:r>
      <w:r w:rsidRPr="00947591">
        <w:rPr>
          <w:rFonts w:cs="Times New Roman"/>
          <w:i w:val="0"/>
          <w:color w:val="auto"/>
          <w:sz w:val="24"/>
          <w:szCs w:val="24"/>
        </w:rPr>
        <w:fldChar w:fldCharType="begin"/>
      </w:r>
      <w:r w:rsidRPr="00947591">
        <w:rPr>
          <w:rFonts w:cs="Times New Roman"/>
          <w:i w:val="0"/>
          <w:color w:val="auto"/>
          <w:sz w:val="24"/>
          <w:szCs w:val="24"/>
        </w:rPr>
        <w:instrText xml:space="preserve"> SEQ Grafikon \* ARABIC </w:instrText>
      </w:r>
      <w:r w:rsidRPr="00947591">
        <w:rPr>
          <w:rFonts w:cs="Times New Roman"/>
          <w:i w:val="0"/>
          <w:color w:val="auto"/>
          <w:sz w:val="24"/>
          <w:szCs w:val="24"/>
        </w:rPr>
        <w:fldChar w:fldCharType="separate"/>
      </w:r>
      <w:r w:rsidR="006701BE" w:rsidRPr="00947591">
        <w:rPr>
          <w:rFonts w:cs="Times New Roman"/>
          <w:i w:val="0"/>
          <w:noProof/>
          <w:color w:val="auto"/>
          <w:sz w:val="24"/>
          <w:szCs w:val="24"/>
        </w:rPr>
        <w:t>1</w:t>
      </w:r>
      <w:r w:rsidRPr="00947591">
        <w:rPr>
          <w:rFonts w:cs="Times New Roman"/>
          <w:i w:val="0"/>
          <w:color w:val="auto"/>
          <w:sz w:val="24"/>
          <w:szCs w:val="24"/>
        </w:rPr>
        <w:fldChar w:fldCharType="end"/>
      </w:r>
      <w:r w:rsidRPr="00947591">
        <w:rPr>
          <w:rFonts w:cs="Times New Roman"/>
          <w:i w:val="0"/>
          <w:color w:val="auto"/>
          <w:sz w:val="24"/>
          <w:szCs w:val="24"/>
        </w:rPr>
        <w:t xml:space="preserve">. </w:t>
      </w:r>
      <w:r w:rsidR="004409C4" w:rsidRPr="00947591">
        <w:rPr>
          <w:rFonts w:cs="Times New Roman"/>
          <w:i w:val="0"/>
          <w:color w:val="auto"/>
          <w:sz w:val="24"/>
          <w:szCs w:val="24"/>
        </w:rPr>
        <w:t>Ukupni p</w:t>
      </w:r>
      <w:r w:rsidR="00B954EB" w:rsidRPr="00947591">
        <w:rPr>
          <w:rFonts w:cs="Times New Roman"/>
          <w:i w:val="0"/>
          <w:color w:val="auto"/>
          <w:sz w:val="24"/>
          <w:szCs w:val="24"/>
        </w:rPr>
        <w:t>rihod</w:t>
      </w:r>
      <w:r w:rsidR="00A552AA" w:rsidRPr="00947591">
        <w:rPr>
          <w:rFonts w:cs="Times New Roman"/>
          <w:i w:val="0"/>
          <w:color w:val="auto"/>
          <w:sz w:val="24"/>
          <w:szCs w:val="24"/>
        </w:rPr>
        <w:t>i 202</w:t>
      </w:r>
      <w:r w:rsidR="00F761AE" w:rsidRPr="00947591">
        <w:rPr>
          <w:rFonts w:cs="Times New Roman"/>
          <w:i w:val="0"/>
          <w:color w:val="auto"/>
          <w:sz w:val="24"/>
          <w:szCs w:val="24"/>
        </w:rPr>
        <w:t>0</w:t>
      </w:r>
      <w:r w:rsidR="00654C32" w:rsidRPr="00947591">
        <w:rPr>
          <w:rFonts w:cs="Times New Roman"/>
          <w:i w:val="0"/>
          <w:color w:val="auto"/>
          <w:sz w:val="24"/>
          <w:szCs w:val="24"/>
        </w:rPr>
        <w:t>. i 202</w:t>
      </w:r>
      <w:r w:rsidR="00A552AA" w:rsidRPr="00947591">
        <w:rPr>
          <w:rFonts w:cs="Times New Roman"/>
          <w:i w:val="0"/>
          <w:color w:val="auto"/>
          <w:sz w:val="24"/>
          <w:szCs w:val="24"/>
        </w:rPr>
        <w:t>1</w:t>
      </w:r>
      <w:r w:rsidR="004409C4" w:rsidRPr="00947591">
        <w:rPr>
          <w:rFonts w:cs="Times New Roman"/>
          <w:i w:val="0"/>
          <w:color w:val="auto"/>
          <w:sz w:val="24"/>
          <w:szCs w:val="24"/>
        </w:rPr>
        <w:t>. godine</w:t>
      </w:r>
    </w:p>
    <w:p w:rsidR="00620E49" w:rsidRPr="00947591" w:rsidRDefault="00620E49" w:rsidP="00F54374">
      <w:pPr>
        <w:spacing w:after="0"/>
        <w:jc w:val="center"/>
        <w:rPr>
          <w:rFonts w:cs="Times New Roman"/>
          <w:i/>
          <w:iCs/>
          <w:sz w:val="24"/>
          <w:szCs w:val="24"/>
        </w:rPr>
      </w:pPr>
    </w:p>
    <w:p w:rsidR="003E7BC9" w:rsidRPr="00947591" w:rsidRDefault="006C6BD4" w:rsidP="004409C4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947591">
        <w:rPr>
          <w:rFonts w:cs="Times New Roman"/>
          <w:i/>
          <w:iCs/>
          <w:noProof/>
          <w:sz w:val="24"/>
          <w:szCs w:val="24"/>
          <w:lang w:val="hr-HR" w:eastAsia="hr-HR"/>
        </w:rPr>
        <w:drawing>
          <wp:inline distT="0" distB="0" distL="0" distR="0">
            <wp:extent cx="5486400" cy="32004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0E49" w:rsidRPr="00947591" w:rsidRDefault="00620E49" w:rsidP="00620E49">
      <w:pPr>
        <w:pStyle w:val="Opisslike"/>
        <w:keepNext/>
        <w:jc w:val="both"/>
        <w:rPr>
          <w:rFonts w:cs="Times New Roman"/>
          <w:i w:val="0"/>
          <w:color w:val="auto"/>
          <w:sz w:val="24"/>
          <w:szCs w:val="24"/>
        </w:rPr>
      </w:pPr>
      <w:r w:rsidRPr="00947591">
        <w:rPr>
          <w:rFonts w:cs="Times New Roman"/>
          <w:i w:val="0"/>
          <w:color w:val="auto"/>
          <w:sz w:val="24"/>
          <w:szCs w:val="24"/>
        </w:rPr>
        <w:lastRenderedPageBreak/>
        <w:t xml:space="preserve">Grafikon </w:t>
      </w:r>
      <w:r w:rsidRPr="00947591">
        <w:rPr>
          <w:rFonts w:cs="Times New Roman"/>
          <w:i w:val="0"/>
          <w:color w:val="auto"/>
          <w:sz w:val="24"/>
          <w:szCs w:val="24"/>
        </w:rPr>
        <w:fldChar w:fldCharType="begin"/>
      </w:r>
      <w:r w:rsidRPr="00947591">
        <w:rPr>
          <w:rFonts w:cs="Times New Roman"/>
          <w:i w:val="0"/>
          <w:color w:val="auto"/>
          <w:sz w:val="24"/>
          <w:szCs w:val="24"/>
        </w:rPr>
        <w:instrText xml:space="preserve"> SEQ Grafikon \* ARABIC </w:instrText>
      </w:r>
      <w:r w:rsidRPr="00947591">
        <w:rPr>
          <w:rFonts w:cs="Times New Roman"/>
          <w:i w:val="0"/>
          <w:color w:val="auto"/>
          <w:sz w:val="24"/>
          <w:szCs w:val="24"/>
        </w:rPr>
        <w:fldChar w:fldCharType="separate"/>
      </w:r>
      <w:r w:rsidR="006701BE" w:rsidRPr="00947591">
        <w:rPr>
          <w:rFonts w:cs="Times New Roman"/>
          <w:i w:val="0"/>
          <w:noProof/>
          <w:color w:val="auto"/>
          <w:sz w:val="24"/>
          <w:szCs w:val="24"/>
        </w:rPr>
        <w:t>2</w:t>
      </w:r>
      <w:r w:rsidRPr="00947591">
        <w:rPr>
          <w:rFonts w:cs="Times New Roman"/>
          <w:i w:val="0"/>
          <w:color w:val="auto"/>
          <w:sz w:val="24"/>
          <w:szCs w:val="24"/>
        </w:rPr>
        <w:fldChar w:fldCharType="end"/>
      </w:r>
      <w:r w:rsidRPr="00947591">
        <w:rPr>
          <w:rFonts w:cs="Times New Roman"/>
          <w:i w:val="0"/>
          <w:color w:val="auto"/>
          <w:sz w:val="24"/>
          <w:szCs w:val="24"/>
        </w:rPr>
        <w:t xml:space="preserve">. </w:t>
      </w:r>
      <w:r w:rsidR="004409C4" w:rsidRPr="00947591">
        <w:rPr>
          <w:rFonts w:cs="Times New Roman"/>
          <w:i w:val="0"/>
          <w:color w:val="auto"/>
          <w:sz w:val="24"/>
          <w:szCs w:val="24"/>
        </w:rPr>
        <w:t xml:space="preserve">Analitika </w:t>
      </w:r>
      <w:r w:rsidR="00B954EB" w:rsidRPr="00947591">
        <w:rPr>
          <w:rFonts w:cs="Times New Roman"/>
          <w:i w:val="0"/>
          <w:color w:val="auto"/>
          <w:sz w:val="24"/>
          <w:szCs w:val="24"/>
        </w:rPr>
        <w:t>prihodi</w:t>
      </w:r>
      <w:r w:rsidR="00654C32" w:rsidRPr="00947591">
        <w:rPr>
          <w:rFonts w:cs="Times New Roman"/>
          <w:i w:val="0"/>
          <w:color w:val="auto"/>
          <w:sz w:val="24"/>
          <w:szCs w:val="24"/>
        </w:rPr>
        <w:t xml:space="preserve"> 2019. i 2020</w:t>
      </w:r>
      <w:r w:rsidR="004409C4" w:rsidRPr="00947591">
        <w:rPr>
          <w:rFonts w:cs="Times New Roman"/>
          <w:i w:val="0"/>
          <w:color w:val="auto"/>
          <w:sz w:val="24"/>
          <w:szCs w:val="24"/>
        </w:rPr>
        <w:t>. godine</w:t>
      </w:r>
    </w:p>
    <w:p w:rsidR="00654C32" w:rsidRPr="00947591" w:rsidRDefault="00654C32" w:rsidP="00654C32">
      <w:pPr>
        <w:rPr>
          <w:sz w:val="24"/>
          <w:szCs w:val="24"/>
        </w:rPr>
      </w:pPr>
      <w:r w:rsidRPr="00947591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486400" cy="32004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4374" w:rsidRPr="00947591" w:rsidRDefault="00F54374" w:rsidP="00294AD3">
      <w:pPr>
        <w:spacing w:after="0"/>
        <w:jc w:val="center"/>
        <w:rPr>
          <w:rFonts w:cs="Times New Roman"/>
          <w:sz w:val="24"/>
          <w:szCs w:val="24"/>
        </w:rPr>
      </w:pPr>
    </w:p>
    <w:p w:rsidR="001752E6" w:rsidRPr="00947591" w:rsidRDefault="008532A0">
      <w:pPr>
        <w:jc w:val="both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>RASHODI</w:t>
      </w:r>
      <w:r w:rsidR="007340BC" w:rsidRPr="00947591">
        <w:rPr>
          <w:rFonts w:cs="Times New Roman"/>
          <w:b/>
          <w:sz w:val="24"/>
          <w:szCs w:val="24"/>
        </w:rPr>
        <w:t xml:space="preserve"> 202</w:t>
      </w:r>
      <w:r w:rsidR="00947591">
        <w:rPr>
          <w:rFonts w:cs="Times New Roman"/>
          <w:b/>
          <w:sz w:val="24"/>
          <w:szCs w:val="24"/>
        </w:rPr>
        <w:t>1</w:t>
      </w:r>
      <w:r w:rsidR="00F149E4" w:rsidRPr="00947591">
        <w:rPr>
          <w:rFonts w:cs="Times New Roman"/>
          <w:b/>
          <w:sz w:val="24"/>
          <w:szCs w:val="24"/>
        </w:rPr>
        <w:t>. GODINE</w:t>
      </w:r>
    </w:p>
    <w:p w:rsidR="001752E6" w:rsidRPr="00947591" w:rsidRDefault="00B954EB" w:rsidP="00B131B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 xml:space="preserve">Bilješka </w:t>
      </w:r>
      <w:r w:rsidR="007340BC" w:rsidRPr="00947591">
        <w:rPr>
          <w:rFonts w:cs="Times New Roman"/>
          <w:sz w:val="24"/>
          <w:szCs w:val="24"/>
          <w:u w:val="single"/>
        </w:rPr>
        <w:t>redni broj 7</w:t>
      </w:r>
      <w:r w:rsidR="00F149E4" w:rsidRPr="00947591">
        <w:rPr>
          <w:rFonts w:cs="Times New Roman"/>
          <w:sz w:val="24"/>
          <w:szCs w:val="24"/>
          <w:u w:val="single"/>
        </w:rPr>
        <w:t>.</w:t>
      </w:r>
      <w:r w:rsidRPr="00947591">
        <w:rPr>
          <w:rFonts w:cs="Times New Roman"/>
          <w:sz w:val="24"/>
          <w:szCs w:val="24"/>
        </w:rPr>
        <w:t xml:space="preserve"> – AOP 054</w:t>
      </w:r>
      <w:r w:rsidR="00F149E4" w:rsidRPr="00947591">
        <w:rPr>
          <w:rFonts w:cs="Times New Roman"/>
          <w:sz w:val="24"/>
          <w:szCs w:val="24"/>
        </w:rPr>
        <w:t xml:space="preserve"> – </w:t>
      </w:r>
      <w:r w:rsidR="00947591">
        <w:rPr>
          <w:rFonts w:cs="Times New Roman"/>
          <w:sz w:val="24"/>
          <w:szCs w:val="24"/>
        </w:rPr>
        <w:t>Ukupni rashodi u 2021</w:t>
      </w:r>
      <w:r w:rsidR="00FE4420" w:rsidRPr="00947591">
        <w:rPr>
          <w:rFonts w:cs="Times New Roman"/>
          <w:sz w:val="24"/>
          <w:szCs w:val="24"/>
        </w:rPr>
        <w:t xml:space="preserve">. godini iznose </w:t>
      </w:r>
      <w:r w:rsidR="00E60CB2" w:rsidRPr="00947591">
        <w:rPr>
          <w:rFonts w:cs="Times New Roman"/>
          <w:sz w:val="24"/>
          <w:szCs w:val="24"/>
        </w:rPr>
        <w:t>1.</w:t>
      </w:r>
      <w:r w:rsidR="00947591">
        <w:rPr>
          <w:rFonts w:cs="Times New Roman"/>
          <w:sz w:val="24"/>
          <w:szCs w:val="24"/>
        </w:rPr>
        <w:t>357</w:t>
      </w:r>
      <w:r w:rsidR="00E60CB2" w:rsidRPr="00947591">
        <w:rPr>
          <w:rFonts w:cs="Times New Roman"/>
          <w:sz w:val="24"/>
          <w:szCs w:val="24"/>
        </w:rPr>
        <w:t>.</w:t>
      </w:r>
      <w:r w:rsidR="00947591">
        <w:rPr>
          <w:rFonts w:cs="Times New Roman"/>
          <w:sz w:val="24"/>
          <w:szCs w:val="24"/>
        </w:rPr>
        <w:t>586</w:t>
      </w:r>
      <w:r w:rsidR="009E4EA3" w:rsidRPr="00947591">
        <w:rPr>
          <w:rFonts w:cs="Times New Roman"/>
          <w:sz w:val="24"/>
          <w:szCs w:val="24"/>
        </w:rPr>
        <w:t>,00 kn u odnosu na 20</w:t>
      </w:r>
      <w:r w:rsidR="00947591">
        <w:rPr>
          <w:rFonts w:cs="Times New Roman"/>
          <w:sz w:val="24"/>
          <w:szCs w:val="24"/>
        </w:rPr>
        <w:t>20</w:t>
      </w:r>
      <w:r w:rsidR="00FE4420" w:rsidRPr="00947591">
        <w:rPr>
          <w:rFonts w:cs="Times New Roman"/>
          <w:sz w:val="24"/>
          <w:szCs w:val="24"/>
        </w:rPr>
        <w:t xml:space="preserve">. godinu kada su iznosili </w:t>
      </w:r>
      <w:r w:rsidR="007340BC" w:rsidRPr="00947591">
        <w:rPr>
          <w:rFonts w:cs="Times New Roman"/>
          <w:sz w:val="24"/>
          <w:szCs w:val="24"/>
        </w:rPr>
        <w:t>1.</w:t>
      </w:r>
      <w:r w:rsidR="00947591">
        <w:rPr>
          <w:rFonts w:cs="Times New Roman"/>
          <w:sz w:val="24"/>
          <w:szCs w:val="24"/>
        </w:rPr>
        <w:t>099</w:t>
      </w:r>
      <w:r w:rsidR="007340BC" w:rsidRPr="00947591">
        <w:rPr>
          <w:rFonts w:cs="Times New Roman"/>
          <w:sz w:val="24"/>
          <w:szCs w:val="24"/>
        </w:rPr>
        <w:t>.</w:t>
      </w:r>
      <w:r w:rsidR="00947591">
        <w:rPr>
          <w:rFonts w:cs="Times New Roman"/>
          <w:sz w:val="24"/>
          <w:szCs w:val="24"/>
        </w:rPr>
        <w:t>069</w:t>
      </w:r>
      <w:r w:rsidR="007340BC" w:rsidRPr="00947591">
        <w:rPr>
          <w:rFonts w:cs="Times New Roman"/>
          <w:sz w:val="24"/>
          <w:szCs w:val="24"/>
        </w:rPr>
        <w:t xml:space="preserve">,00 </w:t>
      </w:r>
      <w:r w:rsidR="00FE4420" w:rsidRPr="00947591">
        <w:rPr>
          <w:rFonts w:cs="Times New Roman"/>
          <w:sz w:val="24"/>
          <w:szCs w:val="24"/>
        </w:rPr>
        <w:t>kn.</w:t>
      </w:r>
    </w:p>
    <w:p w:rsidR="001752E6" w:rsidRPr="00947591" w:rsidRDefault="00FE442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</w:t>
      </w:r>
      <w:r w:rsidR="009E4EA3" w:rsidRPr="00947591">
        <w:rPr>
          <w:rFonts w:cs="Times New Roman"/>
          <w:sz w:val="24"/>
          <w:szCs w:val="24"/>
          <w:u w:val="single"/>
        </w:rPr>
        <w:t>ka redni broj 8</w:t>
      </w:r>
      <w:r w:rsidR="00F149E4" w:rsidRPr="00947591">
        <w:rPr>
          <w:rFonts w:cs="Times New Roman"/>
          <w:sz w:val="24"/>
          <w:szCs w:val="24"/>
          <w:u w:val="single"/>
        </w:rPr>
        <w:t>.</w:t>
      </w:r>
      <w:r w:rsidR="00E60CB2" w:rsidRPr="00947591">
        <w:rPr>
          <w:rFonts w:cs="Times New Roman"/>
          <w:sz w:val="24"/>
          <w:szCs w:val="24"/>
        </w:rPr>
        <w:t xml:space="preserve"> </w:t>
      </w:r>
      <w:r w:rsidR="00D07608" w:rsidRPr="00947591">
        <w:rPr>
          <w:rFonts w:cs="Times New Roman"/>
          <w:sz w:val="24"/>
          <w:szCs w:val="24"/>
        </w:rPr>
        <w:t>–</w:t>
      </w:r>
      <w:r w:rsidR="00E60CB2" w:rsidRPr="00947591">
        <w:rPr>
          <w:rFonts w:cs="Times New Roman"/>
          <w:sz w:val="24"/>
          <w:szCs w:val="24"/>
        </w:rPr>
        <w:t xml:space="preserve"> AOP 055</w:t>
      </w:r>
      <w:r w:rsidR="00F149E4" w:rsidRPr="00947591">
        <w:rPr>
          <w:rFonts w:cs="Times New Roman"/>
          <w:sz w:val="24"/>
          <w:szCs w:val="24"/>
        </w:rPr>
        <w:t xml:space="preserve"> – </w:t>
      </w:r>
      <w:r w:rsidR="00E60CB2" w:rsidRPr="00947591">
        <w:rPr>
          <w:rFonts w:cs="Times New Roman"/>
          <w:sz w:val="24"/>
          <w:szCs w:val="24"/>
        </w:rPr>
        <w:t>Ras</w:t>
      </w:r>
      <w:r w:rsidR="00552184" w:rsidRPr="00947591">
        <w:rPr>
          <w:rFonts w:cs="Times New Roman"/>
          <w:sz w:val="24"/>
          <w:szCs w:val="24"/>
        </w:rPr>
        <w:t>hodi za radnike iznose ukupno 9</w:t>
      </w:r>
      <w:r w:rsidR="00947591">
        <w:rPr>
          <w:rFonts w:cs="Times New Roman"/>
          <w:sz w:val="24"/>
          <w:szCs w:val="24"/>
        </w:rPr>
        <w:t>4</w:t>
      </w:r>
      <w:r w:rsidR="00E60CB2" w:rsidRPr="00947591">
        <w:rPr>
          <w:rFonts w:cs="Times New Roman"/>
          <w:sz w:val="24"/>
          <w:szCs w:val="24"/>
        </w:rPr>
        <w:t>.</w:t>
      </w:r>
      <w:r w:rsidR="009E4EA3" w:rsidRPr="00947591">
        <w:rPr>
          <w:rFonts w:cs="Times New Roman"/>
          <w:sz w:val="24"/>
          <w:szCs w:val="24"/>
        </w:rPr>
        <w:t>76</w:t>
      </w:r>
      <w:r w:rsidR="00947591">
        <w:rPr>
          <w:rFonts w:cs="Times New Roman"/>
          <w:sz w:val="24"/>
          <w:szCs w:val="24"/>
        </w:rPr>
        <w:t>4</w:t>
      </w:r>
      <w:r w:rsidR="00552184" w:rsidRPr="00947591">
        <w:rPr>
          <w:rFonts w:cs="Times New Roman"/>
          <w:sz w:val="24"/>
          <w:szCs w:val="24"/>
        </w:rPr>
        <w:t>,00 kn u 20</w:t>
      </w:r>
      <w:r w:rsidR="00947591">
        <w:rPr>
          <w:rFonts w:cs="Times New Roman"/>
          <w:sz w:val="24"/>
          <w:szCs w:val="24"/>
        </w:rPr>
        <w:t>21</w:t>
      </w:r>
      <w:r w:rsidR="00E60CB2" w:rsidRPr="00947591">
        <w:rPr>
          <w:rFonts w:cs="Times New Roman"/>
          <w:sz w:val="24"/>
          <w:szCs w:val="24"/>
        </w:rPr>
        <w:t xml:space="preserve">. godini </w:t>
      </w:r>
      <w:r w:rsidR="00552184" w:rsidRPr="00947591">
        <w:rPr>
          <w:rFonts w:cs="Times New Roman"/>
          <w:sz w:val="24"/>
          <w:szCs w:val="24"/>
        </w:rPr>
        <w:t>u odnosu na 20</w:t>
      </w:r>
      <w:r w:rsidR="00947591">
        <w:rPr>
          <w:rFonts w:cs="Times New Roman"/>
          <w:sz w:val="24"/>
          <w:szCs w:val="24"/>
        </w:rPr>
        <w:t>20</w:t>
      </w:r>
      <w:r w:rsidR="00552184" w:rsidRPr="00947591">
        <w:rPr>
          <w:rFonts w:cs="Times New Roman"/>
          <w:sz w:val="24"/>
          <w:szCs w:val="24"/>
        </w:rPr>
        <w:t xml:space="preserve">. godinu kada su iznosili </w:t>
      </w:r>
      <w:r w:rsidR="009E4EA3" w:rsidRPr="00947591">
        <w:rPr>
          <w:rFonts w:cs="Times New Roman"/>
          <w:sz w:val="24"/>
          <w:szCs w:val="24"/>
        </w:rPr>
        <w:t>90</w:t>
      </w:r>
      <w:r w:rsidR="00552184" w:rsidRPr="00947591">
        <w:rPr>
          <w:rFonts w:cs="Times New Roman"/>
          <w:sz w:val="24"/>
          <w:szCs w:val="24"/>
        </w:rPr>
        <w:t>.</w:t>
      </w:r>
      <w:r w:rsidR="009E4EA3" w:rsidRPr="00947591">
        <w:rPr>
          <w:rFonts w:cs="Times New Roman"/>
          <w:sz w:val="24"/>
          <w:szCs w:val="24"/>
        </w:rPr>
        <w:t>7</w:t>
      </w:r>
      <w:r w:rsidR="00947591">
        <w:rPr>
          <w:rFonts w:cs="Times New Roman"/>
          <w:sz w:val="24"/>
          <w:szCs w:val="24"/>
        </w:rPr>
        <w:t>65</w:t>
      </w:r>
      <w:r w:rsidR="00552184" w:rsidRPr="00947591">
        <w:rPr>
          <w:rFonts w:cs="Times New Roman"/>
          <w:sz w:val="24"/>
          <w:szCs w:val="24"/>
        </w:rPr>
        <w:t xml:space="preserve">,00 kn </w:t>
      </w:r>
      <w:r w:rsidR="009E4EA3" w:rsidRPr="00947591">
        <w:rPr>
          <w:rFonts w:cs="Times New Roman"/>
          <w:sz w:val="24"/>
          <w:szCs w:val="24"/>
        </w:rPr>
        <w:t xml:space="preserve">troškovi se odnose za plaću </w:t>
      </w:r>
      <w:r w:rsidR="00E60CB2" w:rsidRPr="00947591">
        <w:rPr>
          <w:rFonts w:cs="Times New Roman"/>
          <w:sz w:val="24"/>
          <w:szCs w:val="24"/>
        </w:rPr>
        <w:t xml:space="preserve">radnika na radnom mjestu Tajnika Zajednice sportskih udruga Grada Pazina, a </w:t>
      </w:r>
      <w:r w:rsidR="00552184" w:rsidRPr="00947591">
        <w:rPr>
          <w:rFonts w:cs="Times New Roman"/>
          <w:sz w:val="24"/>
          <w:szCs w:val="24"/>
        </w:rPr>
        <w:t>troškovi</w:t>
      </w:r>
      <w:r w:rsidR="00E60CB2" w:rsidRPr="00947591">
        <w:rPr>
          <w:rFonts w:cs="Times New Roman"/>
          <w:sz w:val="24"/>
          <w:szCs w:val="24"/>
        </w:rPr>
        <w:t xml:space="preserve"> se sastoje od </w:t>
      </w:r>
      <w:r w:rsidR="00947591">
        <w:rPr>
          <w:rFonts w:cs="Times New Roman"/>
          <w:sz w:val="24"/>
          <w:szCs w:val="24"/>
        </w:rPr>
        <w:t>73</w:t>
      </w:r>
      <w:r w:rsidR="00D07608" w:rsidRPr="00947591">
        <w:rPr>
          <w:rFonts w:cs="Times New Roman"/>
          <w:sz w:val="24"/>
          <w:szCs w:val="24"/>
        </w:rPr>
        <w:t>.</w:t>
      </w:r>
      <w:r w:rsidR="00947591">
        <w:rPr>
          <w:rFonts w:cs="Times New Roman"/>
          <w:sz w:val="24"/>
          <w:szCs w:val="24"/>
        </w:rPr>
        <w:t>612</w:t>
      </w:r>
      <w:r w:rsidR="00D07608" w:rsidRPr="00947591">
        <w:rPr>
          <w:rFonts w:cs="Times New Roman"/>
          <w:sz w:val="24"/>
          <w:szCs w:val="24"/>
        </w:rPr>
        <w:t xml:space="preserve">,00 kn </w:t>
      </w:r>
      <w:r w:rsidR="009E4EA3" w:rsidRPr="00947591">
        <w:rPr>
          <w:rFonts w:cs="Times New Roman"/>
          <w:sz w:val="24"/>
          <w:szCs w:val="24"/>
        </w:rPr>
        <w:t>u 202</w:t>
      </w:r>
      <w:r w:rsidR="00947591">
        <w:rPr>
          <w:rFonts w:cs="Times New Roman"/>
          <w:sz w:val="24"/>
          <w:szCs w:val="24"/>
        </w:rPr>
        <w:t>1</w:t>
      </w:r>
      <w:r w:rsidR="00552184" w:rsidRPr="00947591">
        <w:rPr>
          <w:rFonts w:cs="Times New Roman"/>
          <w:sz w:val="24"/>
          <w:szCs w:val="24"/>
        </w:rPr>
        <w:t>. godini</w:t>
      </w:r>
      <w:r w:rsidR="009E4EA3" w:rsidRPr="00947591">
        <w:rPr>
          <w:rFonts w:cs="Times New Roman"/>
          <w:sz w:val="24"/>
          <w:szCs w:val="24"/>
        </w:rPr>
        <w:t xml:space="preserve"> u odnosu na 20</w:t>
      </w:r>
      <w:r w:rsidR="00947591">
        <w:rPr>
          <w:rFonts w:cs="Times New Roman"/>
          <w:sz w:val="24"/>
          <w:szCs w:val="24"/>
        </w:rPr>
        <w:t>20</w:t>
      </w:r>
      <w:r w:rsidR="0087631F" w:rsidRPr="00947591">
        <w:rPr>
          <w:rFonts w:cs="Times New Roman"/>
          <w:sz w:val="24"/>
          <w:szCs w:val="24"/>
        </w:rPr>
        <w:t xml:space="preserve">. godinu kada su iznosili </w:t>
      </w:r>
      <w:r w:rsidR="009E4EA3" w:rsidRPr="00947591">
        <w:rPr>
          <w:rFonts w:cs="Times New Roman"/>
          <w:sz w:val="24"/>
          <w:szCs w:val="24"/>
        </w:rPr>
        <w:t>66</w:t>
      </w:r>
      <w:r w:rsidR="0087631F" w:rsidRPr="00947591">
        <w:rPr>
          <w:rFonts w:cs="Times New Roman"/>
          <w:sz w:val="24"/>
          <w:szCs w:val="24"/>
        </w:rPr>
        <w:t>.</w:t>
      </w:r>
      <w:r w:rsidR="00947591">
        <w:rPr>
          <w:rFonts w:cs="Times New Roman"/>
          <w:sz w:val="24"/>
          <w:szCs w:val="24"/>
        </w:rPr>
        <w:t>587</w:t>
      </w:r>
      <w:r w:rsidR="0087631F" w:rsidRPr="00947591">
        <w:rPr>
          <w:rFonts w:cs="Times New Roman"/>
          <w:sz w:val="24"/>
          <w:szCs w:val="24"/>
        </w:rPr>
        <w:t xml:space="preserve">,00 kn </w:t>
      </w:r>
      <w:r w:rsidR="00D07608" w:rsidRPr="00947591">
        <w:rPr>
          <w:rFonts w:cs="Times New Roman"/>
          <w:sz w:val="24"/>
          <w:szCs w:val="24"/>
        </w:rPr>
        <w:t xml:space="preserve">na AOP oznaci 056 odnosno 057 </w:t>
      </w:r>
      <w:r w:rsidR="00782DFD" w:rsidRPr="00947591">
        <w:rPr>
          <w:rFonts w:cs="Times New Roman"/>
          <w:sz w:val="24"/>
          <w:szCs w:val="24"/>
        </w:rPr>
        <w:t xml:space="preserve">za plaću za redovan rad </w:t>
      </w:r>
      <w:r w:rsidR="00D07608" w:rsidRPr="00947591">
        <w:rPr>
          <w:rFonts w:cs="Times New Roman"/>
          <w:sz w:val="24"/>
          <w:szCs w:val="24"/>
        </w:rPr>
        <w:t xml:space="preserve">i </w:t>
      </w:r>
      <w:r w:rsidR="00947591">
        <w:rPr>
          <w:rFonts w:cs="Times New Roman"/>
          <w:sz w:val="24"/>
          <w:szCs w:val="24"/>
        </w:rPr>
        <w:t>2</w:t>
      </w:r>
      <w:r w:rsidR="0087631F" w:rsidRPr="00947591">
        <w:rPr>
          <w:rFonts w:cs="Times New Roman"/>
          <w:sz w:val="24"/>
          <w:szCs w:val="24"/>
        </w:rPr>
        <w:t>.</w:t>
      </w:r>
      <w:r w:rsidR="00947591">
        <w:rPr>
          <w:rFonts w:cs="Times New Roman"/>
          <w:sz w:val="24"/>
          <w:szCs w:val="24"/>
        </w:rPr>
        <w:t>7</w:t>
      </w:r>
      <w:r w:rsidR="009E4EA3" w:rsidRPr="00947591">
        <w:rPr>
          <w:rFonts w:cs="Times New Roman"/>
          <w:sz w:val="24"/>
          <w:szCs w:val="24"/>
        </w:rPr>
        <w:t>5</w:t>
      </w:r>
      <w:r w:rsidR="00947591">
        <w:rPr>
          <w:rFonts w:cs="Times New Roman"/>
          <w:sz w:val="24"/>
          <w:szCs w:val="24"/>
        </w:rPr>
        <w:t>0</w:t>
      </w:r>
      <w:r w:rsidR="0087631F" w:rsidRPr="00947591">
        <w:rPr>
          <w:rFonts w:cs="Times New Roman"/>
          <w:sz w:val="24"/>
          <w:szCs w:val="24"/>
        </w:rPr>
        <w:t>,00 kn za 20</w:t>
      </w:r>
      <w:r w:rsidR="009E4EA3" w:rsidRPr="00947591">
        <w:rPr>
          <w:rFonts w:cs="Times New Roman"/>
          <w:sz w:val="24"/>
          <w:szCs w:val="24"/>
        </w:rPr>
        <w:t>2</w:t>
      </w:r>
      <w:r w:rsidR="00947591">
        <w:rPr>
          <w:rFonts w:cs="Times New Roman"/>
          <w:sz w:val="24"/>
          <w:szCs w:val="24"/>
        </w:rPr>
        <w:t>1</w:t>
      </w:r>
      <w:r w:rsidR="0087631F" w:rsidRPr="00947591">
        <w:rPr>
          <w:rFonts w:cs="Times New Roman"/>
          <w:sz w:val="24"/>
          <w:szCs w:val="24"/>
        </w:rPr>
        <w:t>. godinu u odnosu na 20</w:t>
      </w:r>
      <w:r w:rsidR="00947591">
        <w:rPr>
          <w:rFonts w:cs="Times New Roman"/>
          <w:sz w:val="24"/>
          <w:szCs w:val="24"/>
        </w:rPr>
        <w:t>20</w:t>
      </w:r>
      <w:r w:rsidR="0087631F" w:rsidRPr="00947591">
        <w:rPr>
          <w:rFonts w:cs="Times New Roman"/>
          <w:sz w:val="24"/>
          <w:szCs w:val="24"/>
        </w:rPr>
        <w:t xml:space="preserve">. godinu kada su iznosili </w:t>
      </w:r>
      <w:r w:rsidR="009E4EA3" w:rsidRPr="00947591">
        <w:rPr>
          <w:rFonts w:cs="Times New Roman"/>
          <w:sz w:val="24"/>
          <w:szCs w:val="24"/>
        </w:rPr>
        <w:t>6</w:t>
      </w:r>
      <w:r w:rsidR="00D07608" w:rsidRPr="00947591">
        <w:rPr>
          <w:rFonts w:cs="Times New Roman"/>
          <w:sz w:val="24"/>
          <w:szCs w:val="24"/>
        </w:rPr>
        <w:t>.</w:t>
      </w:r>
      <w:r w:rsidR="00947591">
        <w:rPr>
          <w:rFonts w:cs="Times New Roman"/>
          <w:sz w:val="24"/>
          <w:szCs w:val="24"/>
        </w:rPr>
        <w:t>025</w:t>
      </w:r>
      <w:r w:rsidR="00D07608" w:rsidRPr="00947591">
        <w:rPr>
          <w:rFonts w:cs="Times New Roman"/>
          <w:sz w:val="24"/>
          <w:szCs w:val="24"/>
        </w:rPr>
        <w:t xml:space="preserve">,00 kn na AOP 061 </w:t>
      </w:r>
      <w:r w:rsidR="00782DFD" w:rsidRPr="00947591">
        <w:rPr>
          <w:rFonts w:cs="Times New Roman"/>
          <w:sz w:val="24"/>
          <w:szCs w:val="24"/>
        </w:rPr>
        <w:t>za ostale rashode</w:t>
      </w:r>
      <w:r w:rsidR="00D07608" w:rsidRPr="00947591">
        <w:rPr>
          <w:rFonts w:cs="Times New Roman"/>
          <w:sz w:val="24"/>
          <w:szCs w:val="24"/>
        </w:rPr>
        <w:t xml:space="preserve"> za radnike. Nadalje, uključuju i troškove doprinosa na plaće iskazanih AOP oznakom 062 odnosno 065 a koji se odnose na doprinose za mirovinsko osiguranje koje plaća poslodavac</w:t>
      </w:r>
      <w:r w:rsidR="009E4EA3" w:rsidRPr="00947591">
        <w:rPr>
          <w:rFonts w:cs="Times New Roman"/>
          <w:sz w:val="24"/>
          <w:szCs w:val="24"/>
        </w:rPr>
        <w:t xml:space="preserve"> u 202</w:t>
      </w:r>
      <w:r w:rsidR="00947591">
        <w:rPr>
          <w:rFonts w:cs="Times New Roman"/>
          <w:sz w:val="24"/>
          <w:szCs w:val="24"/>
        </w:rPr>
        <w:t>1</w:t>
      </w:r>
      <w:r w:rsidR="0087631F" w:rsidRPr="00947591">
        <w:rPr>
          <w:rFonts w:cs="Times New Roman"/>
          <w:sz w:val="24"/>
          <w:szCs w:val="24"/>
        </w:rPr>
        <w:t>.</w:t>
      </w:r>
      <w:r w:rsidR="00947591">
        <w:rPr>
          <w:rFonts w:cs="Times New Roman"/>
          <w:sz w:val="24"/>
          <w:szCs w:val="24"/>
        </w:rPr>
        <w:t xml:space="preserve"> iznosili su 18.402,00 kn, a</w:t>
      </w:r>
      <w:r w:rsidR="009E4EA3" w:rsidRPr="00947591">
        <w:rPr>
          <w:rFonts w:cs="Times New Roman"/>
          <w:sz w:val="24"/>
          <w:szCs w:val="24"/>
        </w:rPr>
        <w:t xml:space="preserve"> u 20</w:t>
      </w:r>
      <w:r w:rsidR="00947591">
        <w:rPr>
          <w:rFonts w:cs="Times New Roman"/>
          <w:sz w:val="24"/>
          <w:szCs w:val="24"/>
        </w:rPr>
        <w:t>20</w:t>
      </w:r>
      <w:r w:rsidR="009E4EA3" w:rsidRPr="00947591">
        <w:rPr>
          <w:rFonts w:cs="Times New Roman"/>
          <w:sz w:val="24"/>
          <w:szCs w:val="24"/>
        </w:rPr>
        <w:t>.</w:t>
      </w:r>
      <w:r w:rsidR="0087631F" w:rsidRPr="00947591">
        <w:rPr>
          <w:rFonts w:cs="Times New Roman"/>
          <w:sz w:val="24"/>
          <w:szCs w:val="24"/>
        </w:rPr>
        <w:t xml:space="preserve"> iznosili </w:t>
      </w:r>
      <w:r w:rsidR="009E4EA3" w:rsidRPr="00947591">
        <w:rPr>
          <w:rFonts w:cs="Times New Roman"/>
          <w:sz w:val="24"/>
          <w:szCs w:val="24"/>
        </w:rPr>
        <w:t xml:space="preserve">su </w:t>
      </w:r>
      <w:r w:rsidR="0087631F" w:rsidRPr="00947591">
        <w:rPr>
          <w:rFonts w:cs="Times New Roman"/>
          <w:sz w:val="24"/>
          <w:szCs w:val="24"/>
        </w:rPr>
        <w:t>18.153,00 kn</w:t>
      </w:r>
      <w:r w:rsidR="009E4EA3" w:rsidRPr="00947591">
        <w:rPr>
          <w:rFonts w:cs="Times New Roman"/>
          <w:sz w:val="24"/>
          <w:szCs w:val="24"/>
        </w:rPr>
        <w:t>.</w:t>
      </w:r>
    </w:p>
    <w:p w:rsidR="00D07608" w:rsidRPr="00947591" w:rsidRDefault="00F149E4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</w:t>
      </w:r>
      <w:r w:rsidR="009E4EA3" w:rsidRPr="00947591">
        <w:rPr>
          <w:rFonts w:cs="Times New Roman"/>
          <w:sz w:val="24"/>
          <w:szCs w:val="24"/>
          <w:u w:val="single"/>
        </w:rPr>
        <w:t>oj 9</w:t>
      </w:r>
      <w:r w:rsidRPr="00947591">
        <w:rPr>
          <w:rFonts w:cs="Times New Roman"/>
          <w:sz w:val="24"/>
          <w:szCs w:val="24"/>
          <w:u w:val="single"/>
        </w:rPr>
        <w:t>.</w:t>
      </w:r>
      <w:r w:rsidR="00D07608" w:rsidRPr="00947591">
        <w:rPr>
          <w:rFonts w:cs="Times New Roman"/>
          <w:sz w:val="24"/>
          <w:szCs w:val="24"/>
        </w:rPr>
        <w:t xml:space="preserve"> – AOP 067</w:t>
      </w:r>
      <w:r w:rsidRPr="00947591">
        <w:rPr>
          <w:rFonts w:cs="Times New Roman"/>
          <w:sz w:val="24"/>
          <w:szCs w:val="24"/>
        </w:rPr>
        <w:t xml:space="preserve"> – </w:t>
      </w:r>
      <w:r w:rsidR="00D07608" w:rsidRPr="00947591">
        <w:rPr>
          <w:rFonts w:cs="Times New Roman"/>
          <w:sz w:val="24"/>
          <w:szCs w:val="24"/>
        </w:rPr>
        <w:t>M</w:t>
      </w:r>
      <w:r w:rsidR="009E4EA3" w:rsidRPr="00947591">
        <w:rPr>
          <w:rFonts w:cs="Times New Roman"/>
          <w:sz w:val="24"/>
          <w:szCs w:val="24"/>
        </w:rPr>
        <w:t>aterijalni rashodi iznose u 202</w:t>
      </w:r>
      <w:r w:rsidR="00FA0899">
        <w:rPr>
          <w:rFonts w:cs="Times New Roman"/>
          <w:sz w:val="24"/>
          <w:szCs w:val="24"/>
        </w:rPr>
        <w:t>1</w:t>
      </w:r>
      <w:r w:rsidR="00D07608" w:rsidRPr="00947591">
        <w:rPr>
          <w:rFonts w:cs="Times New Roman"/>
          <w:sz w:val="24"/>
          <w:szCs w:val="24"/>
        </w:rPr>
        <w:t xml:space="preserve">. godini </w:t>
      </w:r>
      <w:r w:rsidR="00FA0899">
        <w:rPr>
          <w:rFonts w:cs="Times New Roman"/>
          <w:sz w:val="24"/>
          <w:szCs w:val="24"/>
        </w:rPr>
        <w:t>433</w:t>
      </w:r>
      <w:r w:rsidR="00D07608" w:rsidRPr="00947591">
        <w:rPr>
          <w:rFonts w:cs="Times New Roman"/>
          <w:sz w:val="24"/>
          <w:szCs w:val="24"/>
        </w:rPr>
        <w:t>.</w:t>
      </w:r>
      <w:r w:rsidR="00FA0899">
        <w:rPr>
          <w:rFonts w:cs="Times New Roman"/>
          <w:sz w:val="24"/>
          <w:szCs w:val="24"/>
        </w:rPr>
        <w:t>050</w:t>
      </w:r>
      <w:r w:rsidR="009E4EA3" w:rsidRPr="00947591">
        <w:rPr>
          <w:rFonts w:cs="Times New Roman"/>
          <w:sz w:val="24"/>
          <w:szCs w:val="24"/>
        </w:rPr>
        <w:t>,00 kn u odnosu na 20</w:t>
      </w:r>
      <w:r w:rsidR="00FA0899">
        <w:rPr>
          <w:rFonts w:cs="Times New Roman"/>
          <w:sz w:val="24"/>
          <w:szCs w:val="24"/>
        </w:rPr>
        <w:t>20</w:t>
      </w:r>
      <w:r w:rsidR="00D07608" w:rsidRPr="00947591">
        <w:rPr>
          <w:rFonts w:cs="Times New Roman"/>
          <w:sz w:val="24"/>
          <w:szCs w:val="24"/>
        </w:rPr>
        <w:t xml:space="preserve">. godinu i iznos od </w:t>
      </w:r>
      <w:r w:rsidR="00FA0899">
        <w:rPr>
          <w:rFonts w:cs="Times New Roman"/>
          <w:sz w:val="24"/>
          <w:szCs w:val="24"/>
        </w:rPr>
        <w:t>338</w:t>
      </w:r>
      <w:r w:rsidR="009E4EA3" w:rsidRPr="00947591">
        <w:rPr>
          <w:rFonts w:cs="Times New Roman"/>
          <w:sz w:val="24"/>
          <w:szCs w:val="24"/>
        </w:rPr>
        <w:t>.</w:t>
      </w:r>
      <w:r w:rsidR="00FA0899">
        <w:rPr>
          <w:rFonts w:cs="Times New Roman"/>
          <w:sz w:val="24"/>
          <w:szCs w:val="24"/>
        </w:rPr>
        <w:t>851</w:t>
      </w:r>
      <w:r w:rsidR="009E4EA3" w:rsidRPr="00947591">
        <w:rPr>
          <w:rFonts w:cs="Times New Roman"/>
          <w:sz w:val="24"/>
          <w:szCs w:val="24"/>
        </w:rPr>
        <w:t xml:space="preserve">,00 </w:t>
      </w:r>
      <w:r w:rsidR="00D07608" w:rsidRPr="00947591">
        <w:rPr>
          <w:rFonts w:cs="Times New Roman"/>
          <w:sz w:val="24"/>
          <w:szCs w:val="24"/>
        </w:rPr>
        <w:t xml:space="preserve">kn. </w:t>
      </w:r>
    </w:p>
    <w:p w:rsidR="00D07608" w:rsidRDefault="00D0760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1</w:t>
      </w:r>
      <w:r w:rsidR="009E4EA3" w:rsidRPr="00947591">
        <w:rPr>
          <w:rFonts w:cs="Times New Roman"/>
          <w:sz w:val="24"/>
          <w:szCs w:val="24"/>
          <w:u w:val="single"/>
        </w:rPr>
        <w:t>0</w:t>
      </w:r>
      <w:r w:rsidR="00F149E4" w:rsidRPr="00947591">
        <w:rPr>
          <w:rFonts w:cs="Times New Roman"/>
          <w:sz w:val="24"/>
          <w:szCs w:val="24"/>
          <w:u w:val="single"/>
        </w:rPr>
        <w:t>.</w:t>
      </w:r>
      <w:r w:rsidRPr="00947591">
        <w:rPr>
          <w:rFonts w:cs="Times New Roman"/>
          <w:sz w:val="24"/>
          <w:szCs w:val="24"/>
        </w:rPr>
        <w:t xml:space="preserve"> – AOP 068</w:t>
      </w:r>
      <w:r w:rsidR="00F149E4" w:rsidRPr="00947591">
        <w:rPr>
          <w:rFonts w:cs="Times New Roman"/>
          <w:sz w:val="24"/>
          <w:szCs w:val="24"/>
        </w:rPr>
        <w:t xml:space="preserve"> </w:t>
      </w:r>
      <w:r w:rsidR="00E7270A" w:rsidRPr="00947591">
        <w:rPr>
          <w:rFonts w:cs="Times New Roman"/>
          <w:sz w:val="24"/>
          <w:szCs w:val="24"/>
        </w:rPr>
        <w:t>–</w:t>
      </w:r>
      <w:r w:rsidR="00F149E4" w:rsidRPr="00947591">
        <w:rPr>
          <w:rFonts w:cs="Times New Roman"/>
          <w:sz w:val="24"/>
          <w:szCs w:val="24"/>
        </w:rPr>
        <w:t xml:space="preserve"> </w:t>
      </w:r>
      <w:r w:rsidR="00110364" w:rsidRPr="00947591">
        <w:rPr>
          <w:rFonts w:cs="Times New Roman"/>
          <w:sz w:val="24"/>
          <w:szCs w:val="24"/>
        </w:rPr>
        <w:t xml:space="preserve">Naknade </w:t>
      </w:r>
      <w:r w:rsidR="0087631F" w:rsidRPr="00947591">
        <w:rPr>
          <w:rFonts w:cs="Times New Roman"/>
          <w:sz w:val="24"/>
          <w:szCs w:val="24"/>
        </w:rPr>
        <w:t>troškova radnicima iznose u</w:t>
      </w:r>
      <w:r w:rsidR="009E4EA3" w:rsidRPr="00947591">
        <w:rPr>
          <w:rFonts w:cs="Times New Roman"/>
          <w:sz w:val="24"/>
          <w:szCs w:val="24"/>
        </w:rPr>
        <w:t xml:space="preserve"> 202</w:t>
      </w:r>
      <w:r w:rsidR="00FA0899">
        <w:rPr>
          <w:rFonts w:cs="Times New Roman"/>
          <w:sz w:val="24"/>
          <w:szCs w:val="24"/>
        </w:rPr>
        <w:t>1</w:t>
      </w:r>
      <w:r w:rsidR="0087631F" w:rsidRPr="00947591">
        <w:rPr>
          <w:rFonts w:cs="Times New Roman"/>
          <w:sz w:val="24"/>
          <w:szCs w:val="24"/>
        </w:rPr>
        <w:t xml:space="preserve">. godini </w:t>
      </w:r>
      <w:r w:rsidR="00FA0899">
        <w:rPr>
          <w:rFonts w:cs="Times New Roman"/>
          <w:sz w:val="24"/>
          <w:szCs w:val="24"/>
        </w:rPr>
        <w:t>5</w:t>
      </w:r>
      <w:r w:rsidR="00110364" w:rsidRPr="00947591">
        <w:rPr>
          <w:rFonts w:cs="Times New Roman"/>
          <w:sz w:val="24"/>
          <w:szCs w:val="24"/>
        </w:rPr>
        <w:t>.</w:t>
      </w:r>
      <w:r w:rsidR="00FA0899">
        <w:rPr>
          <w:rFonts w:cs="Times New Roman"/>
          <w:sz w:val="24"/>
          <w:szCs w:val="24"/>
        </w:rPr>
        <w:t>976</w:t>
      </w:r>
      <w:r w:rsidR="00110364" w:rsidRPr="00947591">
        <w:rPr>
          <w:rFonts w:cs="Times New Roman"/>
          <w:sz w:val="24"/>
          <w:szCs w:val="24"/>
        </w:rPr>
        <w:t>,00 kn</w:t>
      </w:r>
      <w:r w:rsidR="0087631F" w:rsidRPr="00947591">
        <w:rPr>
          <w:rFonts w:cs="Times New Roman"/>
          <w:sz w:val="24"/>
          <w:szCs w:val="24"/>
        </w:rPr>
        <w:t xml:space="preserve"> u odnosu na 20</w:t>
      </w:r>
      <w:r w:rsidR="00FA0899">
        <w:rPr>
          <w:rFonts w:cs="Times New Roman"/>
          <w:sz w:val="24"/>
          <w:szCs w:val="24"/>
        </w:rPr>
        <w:t>20</w:t>
      </w:r>
      <w:r w:rsidR="0087631F" w:rsidRPr="00947591">
        <w:rPr>
          <w:rFonts w:cs="Times New Roman"/>
          <w:sz w:val="24"/>
          <w:szCs w:val="24"/>
        </w:rPr>
        <w:t xml:space="preserve">. godinu kada su iznosili </w:t>
      </w:r>
      <w:r w:rsidR="00FA0899">
        <w:rPr>
          <w:rFonts w:cs="Times New Roman"/>
          <w:sz w:val="24"/>
          <w:szCs w:val="24"/>
        </w:rPr>
        <w:t>6</w:t>
      </w:r>
      <w:r w:rsidR="009E4EA3" w:rsidRPr="00947591">
        <w:rPr>
          <w:rFonts w:cs="Times New Roman"/>
          <w:sz w:val="24"/>
          <w:szCs w:val="24"/>
        </w:rPr>
        <w:t>.</w:t>
      </w:r>
      <w:r w:rsidR="00FA0899">
        <w:rPr>
          <w:rFonts w:cs="Times New Roman"/>
          <w:sz w:val="24"/>
          <w:szCs w:val="24"/>
        </w:rPr>
        <w:t>874</w:t>
      </w:r>
      <w:r w:rsidR="009E4EA3" w:rsidRPr="00947591">
        <w:rPr>
          <w:rFonts w:cs="Times New Roman"/>
          <w:sz w:val="24"/>
          <w:szCs w:val="24"/>
        </w:rPr>
        <w:t>,00</w:t>
      </w:r>
      <w:r w:rsidR="0087631F" w:rsidRPr="00947591">
        <w:rPr>
          <w:rFonts w:cs="Times New Roman"/>
          <w:sz w:val="24"/>
          <w:szCs w:val="24"/>
        </w:rPr>
        <w:t xml:space="preserve"> kn</w:t>
      </w:r>
      <w:r w:rsidR="00110364" w:rsidRPr="00947591">
        <w:rPr>
          <w:rFonts w:cs="Times New Roman"/>
          <w:sz w:val="24"/>
          <w:szCs w:val="24"/>
        </w:rPr>
        <w:t xml:space="preserve"> te se odnose na naknade za prijevoz iskazane AOP oznakom 070.</w:t>
      </w:r>
    </w:p>
    <w:p w:rsidR="00FA0899" w:rsidRPr="00947591" w:rsidRDefault="004F2CE7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Bilješka redni broj 11</w:t>
      </w:r>
      <w:r w:rsidR="00FA0899" w:rsidRPr="00FA0899">
        <w:rPr>
          <w:rFonts w:cs="Times New Roman"/>
          <w:sz w:val="24"/>
          <w:szCs w:val="24"/>
          <w:u w:val="single"/>
        </w:rPr>
        <w:t>.</w:t>
      </w:r>
      <w:r w:rsidR="00FA0899">
        <w:rPr>
          <w:rFonts w:cs="Times New Roman"/>
          <w:sz w:val="24"/>
          <w:szCs w:val="24"/>
        </w:rPr>
        <w:t xml:space="preserve"> – AOP 082</w:t>
      </w:r>
      <w:r w:rsidR="00FA0899" w:rsidRPr="00FA0899">
        <w:rPr>
          <w:rFonts w:cs="Times New Roman"/>
          <w:sz w:val="24"/>
          <w:szCs w:val="24"/>
        </w:rPr>
        <w:t xml:space="preserve"> –</w:t>
      </w:r>
      <w:r w:rsidR="00FA0899">
        <w:rPr>
          <w:rFonts w:cs="Times New Roman"/>
          <w:sz w:val="24"/>
          <w:szCs w:val="24"/>
        </w:rPr>
        <w:t xml:space="preserve"> Naknade ostalim osobama izvan radnog odnosa iznose u 2021. godini 33.000,00 kn, a u 2020. godini nije ih bilo, troškovi se odnose na naknade za obavljanje aktivnosti za provođenje projekta odobrenog od Ministarstva turizma i sporta.</w:t>
      </w:r>
    </w:p>
    <w:p w:rsidR="001752E6" w:rsidRPr="00947591" w:rsidRDefault="004F2CE7" w:rsidP="001D2B95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Bilješka redni broj 12</w:t>
      </w:r>
      <w:r w:rsidR="000012E0" w:rsidRPr="00947591">
        <w:rPr>
          <w:rFonts w:cs="Times New Roman"/>
          <w:sz w:val="24"/>
          <w:szCs w:val="24"/>
          <w:u w:val="single"/>
        </w:rPr>
        <w:t>.</w:t>
      </w:r>
      <w:r w:rsidR="001D2B95" w:rsidRPr="00947591">
        <w:rPr>
          <w:rFonts w:cs="Times New Roman"/>
          <w:sz w:val="24"/>
          <w:szCs w:val="24"/>
        </w:rPr>
        <w:t xml:space="preserve"> – AOP 087 – Rashodi za </w:t>
      </w:r>
      <w:r w:rsidR="00AD7330" w:rsidRPr="00947591">
        <w:rPr>
          <w:rFonts w:cs="Times New Roman"/>
          <w:sz w:val="24"/>
          <w:szCs w:val="24"/>
        </w:rPr>
        <w:t xml:space="preserve">usluge </w:t>
      </w:r>
      <w:r w:rsidR="00B749B8" w:rsidRPr="00947591">
        <w:rPr>
          <w:rFonts w:cs="Times New Roman"/>
          <w:sz w:val="24"/>
          <w:szCs w:val="24"/>
        </w:rPr>
        <w:t xml:space="preserve">iznose </w:t>
      </w:r>
      <w:r>
        <w:rPr>
          <w:rFonts w:cs="Times New Roman"/>
          <w:sz w:val="24"/>
          <w:szCs w:val="24"/>
        </w:rPr>
        <w:t>300</w:t>
      </w:r>
      <w:r w:rsidR="009E4EA3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491</w:t>
      </w:r>
      <w:r w:rsidR="001D2B95" w:rsidRPr="00947591">
        <w:rPr>
          <w:rFonts w:cs="Times New Roman"/>
          <w:sz w:val="24"/>
          <w:szCs w:val="24"/>
        </w:rPr>
        <w:t>,00</w:t>
      </w:r>
      <w:r w:rsidR="0020332F" w:rsidRPr="00947591">
        <w:rPr>
          <w:rFonts w:cs="Times New Roman"/>
          <w:sz w:val="24"/>
          <w:szCs w:val="24"/>
        </w:rPr>
        <w:t xml:space="preserve"> kn u odnosu na 20</w:t>
      </w:r>
      <w:r>
        <w:rPr>
          <w:rFonts w:cs="Times New Roman"/>
          <w:sz w:val="24"/>
          <w:szCs w:val="24"/>
        </w:rPr>
        <w:t>20</w:t>
      </w:r>
      <w:r w:rsidR="00B749B8" w:rsidRPr="00947591">
        <w:rPr>
          <w:rFonts w:cs="Times New Roman"/>
          <w:sz w:val="24"/>
          <w:szCs w:val="24"/>
        </w:rPr>
        <w:t xml:space="preserve">. godinu kada su iznosili </w:t>
      </w:r>
      <w:r>
        <w:rPr>
          <w:rFonts w:cs="Times New Roman"/>
          <w:sz w:val="24"/>
          <w:szCs w:val="24"/>
        </w:rPr>
        <w:t>216</w:t>
      </w:r>
      <w:r w:rsidR="009E4EA3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632</w:t>
      </w:r>
      <w:r w:rsidR="009E4EA3" w:rsidRPr="00947591">
        <w:rPr>
          <w:rFonts w:cs="Times New Roman"/>
          <w:sz w:val="24"/>
          <w:szCs w:val="24"/>
        </w:rPr>
        <w:t xml:space="preserve">,00 </w:t>
      </w:r>
      <w:r w:rsidR="00B749B8" w:rsidRPr="00947591">
        <w:rPr>
          <w:rFonts w:cs="Times New Roman"/>
          <w:sz w:val="24"/>
          <w:szCs w:val="24"/>
        </w:rPr>
        <w:t xml:space="preserve">kn te se sastoje </w:t>
      </w:r>
      <w:r w:rsidR="0020332F" w:rsidRPr="00947591">
        <w:rPr>
          <w:rFonts w:cs="Times New Roman"/>
          <w:sz w:val="24"/>
          <w:szCs w:val="24"/>
        </w:rPr>
        <w:t>od usluga telefona,</w:t>
      </w:r>
      <w:r w:rsidR="001D2B95" w:rsidRPr="00947591">
        <w:rPr>
          <w:rFonts w:cs="Times New Roman"/>
          <w:sz w:val="24"/>
          <w:szCs w:val="24"/>
        </w:rPr>
        <w:t xml:space="preserve"> pošte</w:t>
      </w:r>
      <w:r w:rsidR="0020332F" w:rsidRPr="00947591">
        <w:rPr>
          <w:rFonts w:cs="Times New Roman"/>
          <w:sz w:val="24"/>
          <w:szCs w:val="24"/>
        </w:rPr>
        <w:t xml:space="preserve"> i prijevoza</w:t>
      </w:r>
      <w:r w:rsidR="001D2B95" w:rsidRPr="00947591">
        <w:rPr>
          <w:rFonts w:cs="Times New Roman"/>
          <w:sz w:val="24"/>
          <w:szCs w:val="24"/>
        </w:rPr>
        <w:t xml:space="preserve"> u iznosu od </w:t>
      </w:r>
      <w:r>
        <w:rPr>
          <w:rFonts w:cs="Times New Roman"/>
          <w:sz w:val="24"/>
          <w:szCs w:val="24"/>
        </w:rPr>
        <w:t>4</w:t>
      </w:r>
      <w:r w:rsidR="001D2B95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523</w:t>
      </w:r>
      <w:r w:rsidR="001D2B95" w:rsidRPr="00947591">
        <w:rPr>
          <w:rFonts w:cs="Times New Roman"/>
          <w:sz w:val="24"/>
          <w:szCs w:val="24"/>
        </w:rPr>
        <w:t xml:space="preserve">,00 kn, </w:t>
      </w:r>
      <w:r w:rsidR="00AA3974" w:rsidRPr="00947591">
        <w:rPr>
          <w:rFonts w:cs="Times New Roman"/>
          <w:sz w:val="24"/>
          <w:szCs w:val="24"/>
        </w:rPr>
        <w:t xml:space="preserve">usluga tekućeg i investicijskog održavanja u iznosu od </w:t>
      </w:r>
      <w:r>
        <w:rPr>
          <w:rFonts w:cs="Times New Roman"/>
          <w:sz w:val="24"/>
          <w:szCs w:val="24"/>
        </w:rPr>
        <w:t>28</w:t>
      </w:r>
      <w:r w:rsidR="0087631F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497</w:t>
      </w:r>
      <w:r w:rsidR="00AA3974" w:rsidRPr="00947591">
        <w:rPr>
          <w:rFonts w:cs="Times New Roman"/>
          <w:sz w:val="24"/>
          <w:szCs w:val="24"/>
        </w:rPr>
        <w:t>,00 kn,</w:t>
      </w:r>
      <w:r w:rsidR="0020332F" w:rsidRPr="00947591">
        <w:rPr>
          <w:rFonts w:cs="Times New Roman"/>
          <w:sz w:val="24"/>
          <w:szCs w:val="24"/>
        </w:rPr>
        <w:t xml:space="preserve"> usluge promidžbe i informiranja 1.</w:t>
      </w:r>
      <w:r>
        <w:rPr>
          <w:rFonts w:cs="Times New Roman"/>
          <w:sz w:val="24"/>
          <w:szCs w:val="24"/>
        </w:rPr>
        <w:t>564</w:t>
      </w:r>
      <w:r w:rsidR="0020332F" w:rsidRPr="00947591">
        <w:rPr>
          <w:rFonts w:cs="Times New Roman"/>
          <w:sz w:val="24"/>
          <w:szCs w:val="24"/>
        </w:rPr>
        <w:t>,00 kn</w:t>
      </w:r>
      <w:r w:rsidR="00AA3974" w:rsidRPr="00947591">
        <w:rPr>
          <w:rFonts w:cs="Times New Roman"/>
          <w:sz w:val="24"/>
          <w:szCs w:val="24"/>
        </w:rPr>
        <w:t xml:space="preserve"> </w:t>
      </w:r>
      <w:r w:rsidR="0087631F" w:rsidRPr="00947591">
        <w:rPr>
          <w:rFonts w:cs="Times New Roman"/>
          <w:sz w:val="24"/>
          <w:szCs w:val="24"/>
        </w:rPr>
        <w:t xml:space="preserve">zakupnina i najamnina </w:t>
      </w:r>
      <w:r>
        <w:rPr>
          <w:rFonts w:cs="Times New Roman"/>
          <w:sz w:val="24"/>
          <w:szCs w:val="24"/>
        </w:rPr>
        <w:t>144</w:t>
      </w:r>
      <w:r w:rsidR="001D2B95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879</w:t>
      </w:r>
      <w:r w:rsidR="0087631F" w:rsidRPr="00947591">
        <w:rPr>
          <w:rFonts w:cs="Times New Roman"/>
          <w:sz w:val="24"/>
          <w:szCs w:val="24"/>
        </w:rPr>
        <w:t xml:space="preserve">,00 </w:t>
      </w:r>
      <w:r w:rsidR="0087631F" w:rsidRPr="00947591">
        <w:rPr>
          <w:rFonts w:cs="Times New Roman"/>
          <w:sz w:val="24"/>
          <w:szCs w:val="24"/>
        </w:rPr>
        <w:lastRenderedPageBreak/>
        <w:t xml:space="preserve">kn,  zdravstvenih usluga </w:t>
      </w:r>
      <w:r>
        <w:rPr>
          <w:rFonts w:cs="Times New Roman"/>
          <w:sz w:val="24"/>
          <w:szCs w:val="24"/>
        </w:rPr>
        <w:t>48</w:t>
      </w:r>
      <w:r w:rsidR="001D2B95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288</w:t>
      </w:r>
      <w:r w:rsidR="001D2B95" w:rsidRPr="00947591">
        <w:rPr>
          <w:rFonts w:cs="Times New Roman"/>
          <w:sz w:val="24"/>
          <w:szCs w:val="24"/>
        </w:rPr>
        <w:t xml:space="preserve">,00 kn, intelektualnih i ostalih usluga </w:t>
      </w:r>
      <w:r>
        <w:rPr>
          <w:rFonts w:cs="Times New Roman"/>
          <w:sz w:val="24"/>
          <w:szCs w:val="24"/>
        </w:rPr>
        <w:t>4.722</w:t>
      </w:r>
      <w:r w:rsidR="001D2B95" w:rsidRPr="00947591">
        <w:rPr>
          <w:rFonts w:cs="Times New Roman"/>
          <w:sz w:val="24"/>
          <w:szCs w:val="24"/>
        </w:rPr>
        <w:t xml:space="preserve">,00 kn, </w:t>
      </w:r>
      <w:r>
        <w:rPr>
          <w:rFonts w:cs="Times New Roman"/>
          <w:sz w:val="24"/>
          <w:szCs w:val="24"/>
        </w:rPr>
        <w:t xml:space="preserve">računalne usluge iznose 300,00 kn </w:t>
      </w:r>
      <w:r w:rsidR="00AA3974" w:rsidRPr="00947591">
        <w:rPr>
          <w:rFonts w:cs="Times New Roman"/>
          <w:sz w:val="24"/>
          <w:szCs w:val="24"/>
        </w:rPr>
        <w:t>i ostal</w:t>
      </w:r>
      <w:r>
        <w:rPr>
          <w:rFonts w:cs="Times New Roman"/>
          <w:sz w:val="24"/>
          <w:szCs w:val="24"/>
        </w:rPr>
        <w:t>e usluge</w:t>
      </w:r>
      <w:r w:rsidR="00AA3974" w:rsidRPr="009475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67</w:t>
      </w:r>
      <w:r w:rsidR="001D2B95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718</w:t>
      </w:r>
      <w:r w:rsidR="00AA3974" w:rsidRPr="00947591">
        <w:rPr>
          <w:rFonts w:cs="Times New Roman"/>
          <w:sz w:val="24"/>
          <w:szCs w:val="24"/>
        </w:rPr>
        <w:t>,00 kn</w:t>
      </w:r>
      <w:r w:rsidR="001D2B95" w:rsidRPr="00947591">
        <w:rPr>
          <w:rFonts w:cs="Times New Roman"/>
          <w:sz w:val="24"/>
          <w:szCs w:val="24"/>
        </w:rPr>
        <w:t xml:space="preserve"> gdje se nalaze provedene manifestacije i projekti</w:t>
      </w:r>
      <w:r w:rsidR="00AA3974" w:rsidRPr="00947591">
        <w:rPr>
          <w:rFonts w:cs="Times New Roman"/>
          <w:sz w:val="24"/>
          <w:szCs w:val="24"/>
        </w:rPr>
        <w:t>.</w:t>
      </w:r>
    </w:p>
    <w:p w:rsidR="001752E6" w:rsidRPr="00947591" w:rsidRDefault="00F149E4" w:rsidP="00E7270A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1</w:t>
      </w:r>
      <w:r w:rsidR="004F2CE7">
        <w:rPr>
          <w:rFonts w:cs="Times New Roman"/>
          <w:sz w:val="24"/>
          <w:szCs w:val="24"/>
          <w:u w:val="single"/>
        </w:rPr>
        <w:t>3</w:t>
      </w:r>
      <w:r w:rsidRPr="00947591">
        <w:rPr>
          <w:rFonts w:cs="Times New Roman"/>
          <w:sz w:val="24"/>
          <w:szCs w:val="24"/>
          <w:u w:val="single"/>
        </w:rPr>
        <w:t>.</w:t>
      </w:r>
      <w:r w:rsidR="00B749B8" w:rsidRPr="00947591">
        <w:rPr>
          <w:rFonts w:cs="Times New Roman"/>
          <w:sz w:val="24"/>
          <w:szCs w:val="24"/>
        </w:rPr>
        <w:t xml:space="preserve"> – AOP 097</w:t>
      </w:r>
      <w:r w:rsidRPr="00947591">
        <w:rPr>
          <w:rFonts w:cs="Times New Roman"/>
          <w:sz w:val="24"/>
          <w:szCs w:val="24"/>
        </w:rPr>
        <w:t xml:space="preserve"> – </w:t>
      </w:r>
      <w:r w:rsidR="00B749B8" w:rsidRPr="00947591">
        <w:rPr>
          <w:rFonts w:cs="Times New Roman"/>
          <w:sz w:val="24"/>
          <w:szCs w:val="24"/>
        </w:rPr>
        <w:t>Rashodi za ma</w:t>
      </w:r>
      <w:r w:rsidR="00AA3974" w:rsidRPr="00947591">
        <w:rPr>
          <w:rFonts w:cs="Times New Roman"/>
          <w:sz w:val="24"/>
          <w:szCs w:val="24"/>
        </w:rPr>
        <w:t xml:space="preserve">terijal i energiju iznose </w:t>
      </w:r>
      <w:r w:rsidR="004F2CE7">
        <w:rPr>
          <w:rFonts w:cs="Times New Roman"/>
          <w:sz w:val="24"/>
          <w:szCs w:val="24"/>
        </w:rPr>
        <w:t>60</w:t>
      </w:r>
      <w:r w:rsidR="001D2B95" w:rsidRPr="00947591">
        <w:rPr>
          <w:rFonts w:cs="Times New Roman"/>
          <w:sz w:val="24"/>
          <w:szCs w:val="24"/>
        </w:rPr>
        <w:t>.</w:t>
      </w:r>
      <w:r w:rsidR="004F2CE7">
        <w:rPr>
          <w:rFonts w:cs="Times New Roman"/>
          <w:sz w:val="24"/>
          <w:szCs w:val="24"/>
        </w:rPr>
        <w:t>622</w:t>
      </w:r>
      <w:r w:rsidR="00B749B8" w:rsidRPr="00947591">
        <w:rPr>
          <w:rFonts w:cs="Times New Roman"/>
          <w:sz w:val="24"/>
          <w:szCs w:val="24"/>
        </w:rPr>
        <w:t xml:space="preserve">,00 kn u </w:t>
      </w:r>
      <w:r w:rsidR="00760395" w:rsidRPr="00947591">
        <w:rPr>
          <w:rFonts w:cs="Times New Roman"/>
          <w:sz w:val="24"/>
          <w:szCs w:val="24"/>
        </w:rPr>
        <w:t>odnosu na 20</w:t>
      </w:r>
      <w:r w:rsidR="004F2CE7">
        <w:rPr>
          <w:rFonts w:cs="Times New Roman"/>
          <w:sz w:val="24"/>
          <w:szCs w:val="24"/>
        </w:rPr>
        <w:t>20</w:t>
      </w:r>
      <w:r w:rsidR="00AA3974" w:rsidRPr="00947591">
        <w:rPr>
          <w:rFonts w:cs="Times New Roman"/>
          <w:sz w:val="24"/>
          <w:szCs w:val="24"/>
        </w:rPr>
        <w:t xml:space="preserve">. godinu kada su iznosili </w:t>
      </w:r>
      <w:r w:rsidR="004F2CE7">
        <w:rPr>
          <w:rFonts w:cs="Times New Roman"/>
          <w:sz w:val="24"/>
          <w:szCs w:val="24"/>
        </w:rPr>
        <w:t>53</w:t>
      </w:r>
      <w:r w:rsidR="0020332F" w:rsidRPr="00947591">
        <w:rPr>
          <w:rFonts w:cs="Times New Roman"/>
          <w:sz w:val="24"/>
          <w:szCs w:val="24"/>
        </w:rPr>
        <w:t>.</w:t>
      </w:r>
      <w:r w:rsidR="004F2CE7">
        <w:rPr>
          <w:rFonts w:cs="Times New Roman"/>
          <w:sz w:val="24"/>
          <w:szCs w:val="24"/>
        </w:rPr>
        <w:t>947</w:t>
      </w:r>
      <w:r w:rsidR="0020332F" w:rsidRPr="00947591">
        <w:rPr>
          <w:rFonts w:cs="Times New Roman"/>
          <w:sz w:val="24"/>
          <w:szCs w:val="24"/>
        </w:rPr>
        <w:t xml:space="preserve">,00 </w:t>
      </w:r>
      <w:r w:rsidR="00760395" w:rsidRPr="00947591">
        <w:rPr>
          <w:rFonts w:cs="Times New Roman"/>
          <w:sz w:val="24"/>
          <w:szCs w:val="24"/>
        </w:rPr>
        <w:t xml:space="preserve"> kn</w:t>
      </w:r>
      <w:r w:rsidR="00B749B8" w:rsidRPr="00947591">
        <w:rPr>
          <w:rFonts w:cs="Times New Roman"/>
          <w:sz w:val="24"/>
          <w:szCs w:val="24"/>
        </w:rPr>
        <w:t xml:space="preserve">. Sastoje se od </w:t>
      </w:r>
      <w:r w:rsidR="00AA3974" w:rsidRPr="00947591">
        <w:rPr>
          <w:rFonts w:cs="Times New Roman"/>
          <w:sz w:val="24"/>
          <w:szCs w:val="24"/>
        </w:rPr>
        <w:t xml:space="preserve">uredskog materijala </w:t>
      </w:r>
      <w:r w:rsidR="004F2CE7">
        <w:rPr>
          <w:rFonts w:cs="Times New Roman"/>
          <w:sz w:val="24"/>
          <w:szCs w:val="24"/>
        </w:rPr>
        <w:t>1</w:t>
      </w:r>
      <w:r w:rsidR="00760395" w:rsidRPr="00947591">
        <w:rPr>
          <w:rFonts w:cs="Times New Roman"/>
          <w:sz w:val="24"/>
          <w:szCs w:val="24"/>
        </w:rPr>
        <w:t>2</w:t>
      </w:r>
      <w:r w:rsidR="001D2B95" w:rsidRPr="00947591">
        <w:rPr>
          <w:rFonts w:cs="Times New Roman"/>
          <w:sz w:val="24"/>
          <w:szCs w:val="24"/>
        </w:rPr>
        <w:t>.</w:t>
      </w:r>
      <w:r w:rsidR="004F2CE7">
        <w:rPr>
          <w:rFonts w:cs="Times New Roman"/>
          <w:sz w:val="24"/>
          <w:szCs w:val="24"/>
        </w:rPr>
        <w:t>271</w:t>
      </w:r>
      <w:r w:rsidR="00AA3974" w:rsidRPr="00947591">
        <w:rPr>
          <w:rFonts w:cs="Times New Roman"/>
          <w:sz w:val="24"/>
          <w:szCs w:val="24"/>
        </w:rPr>
        <w:t>,00 kn, materijala</w:t>
      </w:r>
      <w:r w:rsidR="004F2CE7">
        <w:rPr>
          <w:rFonts w:cs="Times New Roman"/>
          <w:sz w:val="24"/>
          <w:szCs w:val="24"/>
        </w:rPr>
        <w:t xml:space="preserve"> i sirovine</w:t>
      </w:r>
      <w:r w:rsidR="00AA3974" w:rsidRPr="00947591">
        <w:rPr>
          <w:rFonts w:cs="Times New Roman"/>
          <w:sz w:val="24"/>
          <w:szCs w:val="24"/>
        </w:rPr>
        <w:t xml:space="preserve"> </w:t>
      </w:r>
      <w:r w:rsidR="004F2CE7">
        <w:rPr>
          <w:rFonts w:cs="Times New Roman"/>
          <w:sz w:val="24"/>
          <w:szCs w:val="24"/>
        </w:rPr>
        <w:t>325</w:t>
      </w:r>
      <w:r w:rsidR="00AA3974" w:rsidRPr="00947591">
        <w:rPr>
          <w:rFonts w:cs="Times New Roman"/>
          <w:sz w:val="24"/>
          <w:szCs w:val="24"/>
        </w:rPr>
        <w:t>,00 kn</w:t>
      </w:r>
      <w:r w:rsidR="004F2CE7">
        <w:rPr>
          <w:rFonts w:cs="Times New Roman"/>
          <w:sz w:val="24"/>
          <w:szCs w:val="24"/>
        </w:rPr>
        <w:t>,</w:t>
      </w:r>
      <w:r w:rsidR="001D2B95" w:rsidRPr="00947591">
        <w:rPr>
          <w:rFonts w:cs="Times New Roman"/>
          <w:sz w:val="24"/>
          <w:szCs w:val="24"/>
        </w:rPr>
        <w:t xml:space="preserve"> energij</w:t>
      </w:r>
      <w:r w:rsidR="004F2CE7">
        <w:rPr>
          <w:rFonts w:cs="Times New Roman"/>
          <w:sz w:val="24"/>
          <w:szCs w:val="24"/>
        </w:rPr>
        <w:t>a</w:t>
      </w:r>
      <w:r w:rsidR="001D2B95" w:rsidRPr="00947591">
        <w:rPr>
          <w:rFonts w:cs="Times New Roman"/>
          <w:sz w:val="24"/>
          <w:szCs w:val="24"/>
        </w:rPr>
        <w:t xml:space="preserve"> </w:t>
      </w:r>
      <w:r w:rsidR="004F2CE7">
        <w:rPr>
          <w:rFonts w:cs="Times New Roman"/>
          <w:sz w:val="24"/>
          <w:szCs w:val="24"/>
        </w:rPr>
        <w:t>31</w:t>
      </w:r>
      <w:r w:rsidR="001D2B95" w:rsidRPr="00947591">
        <w:rPr>
          <w:rFonts w:cs="Times New Roman"/>
          <w:sz w:val="24"/>
          <w:szCs w:val="24"/>
        </w:rPr>
        <w:t>.</w:t>
      </w:r>
      <w:r w:rsidR="004F2CE7">
        <w:rPr>
          <w:rFonts w:cs="Times New Roman"/>
          <w:sz w:val="24"/>
          <w:szCs w:val="24"/>
        </w:rPr>
        <w:t>855</w:t>
      </w:r>
      <w:r w:rsidR="001D2B95" w:rsidRPr="00947591">
        <w:rPr>
          <w:rFonts w:cs="Times New Roman"/>
          <w:sz w:val="24"/>
          <w:szCs w:val="24"/>
        </w:rPr>
        <w:t>,00 kn</w:t>
      </w:r>
      <w:r w:rsidR="004F2CE7">
        <w:rPr>
          <w:rFonts w:cs="Times New Roman"/>
          <w:sz w:val="24"/>
          <w:szCs w:val="24"/>
        </w:rPr>
        <w:t xml:space="preserve"> i sitan inventar i auto gume u iznosu od 16.171,00 kn</w:t>
      </w:r>
      <w:r w:rsidR="0020332F" w:rsidRPr="00947591">
        <w:rPr>
          <w:rFonts w:cs="Times New Roman"/>
          <w:sz w:val="24"/>
          <w:szCs w:val="24"/>
        </w:rPr>
        <w:t>.</w:t>
      </w:r>
    </w:p>
    <w:p w:rsidR="00991126" w:rsidRPr="00947591" w:rsidRDefault="0020332F" w:rsidP="00E7270A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1</w:t>
      </w:r>
      <w:r w:rsidR="004F2CE7">
        <w:rPr>
          <w:rFonts w:cs="Times New Roman"/>
          <w:sz w:val="24"/>
          <w:szCs w:val="24"/>
          <w:u w:val="single"/>
        </w:rPr>
        <w:t>4</w:t>
      </w:r>
      <w:r w:rsidR="00B749B8" w:rsidRPr="00947591">
        <w:rPr>
          <w:rFonts w:cs="Times New Roman"/>
          <w:sz w:val="24"/>
          <w:szCs w:val="24"/>
          <w:u w:val="single"/>
        </w:rPr>
        <w:t xml:space="preserve">. </w:t>
      </w:r>
      <w:r w:rsidR="00B749B8" w:rsidRPr="00947591">
        <w:rPr>
          <w:rFonts w:cs="Times New Roman"/>
          <w:sz w:val="24"/>
          <w:szCs w:val="24"/>
        </w:rPr>
        <w:t xml:space="preserve">– AOP 102 – Ostali nespomenuti materijalni rashodi iznose </w:t>
      </w:r>
      <w:r w:rsidR="00A85BBB">
        <w:rPr>
          <w:rFonts w:cs="Times New Roman"/>
          <w:sz w:val="24"/>
          <w:szCs w:val="24"/>
        </w:rPr>
        <w:t>3</w:t>
      </w:r>
      <w:r w:rsidR="004F2CE7">
        <w:rPr>
          <w:rFonts w:cs="Times New Roman"/>
          <w:sz w:val="24"/>
          <w:szCs w:val="24"/>
        </w:rPr>
        <w:t>2</w:t>
      </w:r>
      <w:r w:rsidR="00991126" w:rsidRPr="00947591">
        <w:rPr>
          <w:rFonts w:cs="Times New Roman"/>
          <w:sz w:val="24"/>
          <w:szCs w:val="24"/>
        </w:rPr>
        <w:t>.</w:t>
      </w:r>
      <w:r w:rsidR="00A85BBB">
        <w:rPr>
          <w:rFonts w:cs="Times New Roman"/>
          <w:sz w:val="24"/>
          <w:szCs w:val="24"/>
        </w:rPr>
        <w:t>961</w:t>
      </w:r>
      <w:r w:rsidR="00991126" w:rsidRPr="00947591">
        <w:rPr>
          <w:rFonts w:cs="Times New Roman"/>
          <w:sz w:val="24"/>
          <w:szCs w:val="24"/>
        </w:rPr>
        <w:t>,00</w:t>
      </w:r>
      <w:r w:rsidR="00760395" w:rsidRPr="00947591">
        <w:rPr>
          <w:rFonts w:cs="Times New Roman"/>
          <w:sz w:val="24"/>
          <w:szCs w:val="24"/>
        </w:rPr>
        <w:t xml:space="preserve"> kn u odnosu na 20</w:t>
      </w:r>
      <w:r w:rsidR="004F2CE7">
        <w:rPr>
          <w:rFonts w:cs="Times New Roman"/>
          <w:sz w:val="24"/>
          <w:szCs w:val="24"/>
        </w:rPr>
        <w:t>20</w:t>
      </w:r>
      <w:r w:rsidR="00B749B8" w:rsidRPr="00947591">
        <w:rPr>
          <w:rFonts w:cs="Times New Roman"/>
          <w:sz w:val="24"/>
          <w:szCs w:val="24"/>
        </w:rPr>
        <w:t xml:space="preserve">. godinu kada su iznosili </w:t>
      </w:r>
      <w:r w:rsidR="00A85BBB">
        <w:rPr>
          <w:rFonts w:cs="Times New Roman"/>
          <w:sz w:val="24"/>
          <w:szCs w:val="24"/>
        </w:rPr>
        <w:t>61</w:t>
      </w:r>
      <w:r w:rsidRPr="00947591">
        <w:rPr>
          <w:rFonts w:cs="Times New Roman"/>
          <w:sz w:val="24"/>
          <w:szCs w:val="24"/>
        </w:rPr>
        <w:t>.</w:t>
      </w:r>
      <w:r w:rsidR="00A85BBB">
        <w:rPr>
          <w:rFonts w:cs="Times New Roman"/>
          <w:sz w:val="24"/>
          <w:szCs w:val="24"/>
        </w:rPr>
        <w:t>398</w:t>
      </w:r>
      <w:r w:rsidRPr="00947591">
        <w:rPr>
          <w:rFonts w:cs="Times New Roman"/>
          <w:sz w:val="24"/>
          <w:szCs w:val="24"/>
        </w:rPr>
        <w:t>,00</w:t>
      </w:r>
      <w:r w:rsidR="00760395" w:rsidRPr="00947591">
        <w:rPr>
          <w:rFonts w:cs="Times New Roman"/>
          <w:sz w:val="24"/>
          <w:szCs w:val="24"/>
        </w:rPr>
        <w:t xml:space="preserve"> </w:t>
      </w:r>
      <w:r w:rsidR="00B749B8" w:rsidRPr="00947591">
        <w:rPr>
          <w:rFonts w:cs="Times New Roman"/>
          <w:sz w:val="24"/>
          <w:szCs w:val="24"/>
        </w:rPr>
        <w:t xml:space="preserve"> kn te se sastoje od </w:t>
      </w:r>
      <w:r w:rsidR="00AA3974" w:rsidRPr="00947591">
        <w:rPr>
          <w:rFonts w:cs="Times New Roman"/>
          <w:sz w:val="24"/>
          <w:szCs w:val="24"/>
        </w:rPr>
        <w:t xml:space="preserve">premija osiguranja </w:t>
      </w:r>
      <w:r w:rsidR="00A85BBB">
        <w:rPr>
          <w:rFonts w:cs="Times New Roman"/>
          <w:sz w:val="24"/>
          <w:szCs w:val="24"/>
        </w:rPr>
        <w:t>22</w:t>
      </w:r>
      <w:r w:rsidR="00991126" w:rsidRPr="00947591">
        <w:rPr>
          <w:rFonts w:cs="Times New Roman"/>
          <w:sz w:val="24"/>
          <w:szCs w:val="24"/>
        </w:rPr>
        <w:t>.</w:t>
      </w:r>
      <w:r w:rsidR="00A85BBB">
        <w:rPr>
          <w:rFonts w:cs="Times New Roman"/>
          <w:sz w:val="24"/>
          <w:szCs w:val="24"/>
        </w:rPr>
        <w:t xml:space="preserve">487,00 kn, reprezentacije 4.538,00 kn, kotizacije 120,00 kn, </w:t>
      </w:r>
      <w:r w:rsidR="00991126" w:rsidRPr="00947591">
        <w:rPr>
          <w:rFonts w:cs="Times New Roman"/>
          <w:sz w:val="24"/>
          <w:szCs w:val="24"/>
        </w:rPr>
        <w:t xml:space="preserve">te </w:t>
      </w:r>
      <w:r w:rsidRPr="00947591">
        <w:rPr>
          <w:rFonts w:cs="Times New Roman"/>
          <w:sz w:val="24"/>
          <w:szCs w:val="24"/>
        </w:rPr>
        <w:t xml:space="preserve">ostalih nespomenutih materijalnih rashoda u iznosu od </w:t>
      </w:r>
      <w:r w:rsidR="00A85BBB">
        <w:rPr>
          <w:rFonts w:cs="Times New Roman"/>
          <w:sz w:val="24"/>
          <w:szCs w:val="24"/>
        </w:rPr>
        <w:t>5</w:t>
      </w:r>
      <w:r w:rsidR="00991126" w:rsidRPr="00947591">
        <w:rPr>
          <w:rFonts w:cs="Times New Roman"/>
          <w:sz w:val="24"/>
          <w:szCs w:val="24"/>
        </w:rPr>
        <w:t>.</w:t>
      </w:r>
      <w:r w:rsidR="00A85BBB">
        <w:rPr>
          <w:rFonts w:cs="Times New Roman"/>
          <w:sz w:val="24"/>
          <w:szCs w:val="24"/>
        </w:rPr>
        <w:t>816</w:t>
      </w:r>
      <w:r w:rsidR="00991126" w:rsidRPr="00947591">
        <w:rPr>
          <w:rFonts w:cs="Times New Roman"/>
          <w:sz w:val="24"/>
          <w:szCs w:val="24"/>
        </w:rPr>
        <w:t>,00 kn.</w:t>
      </w:r>
    </w:p>
    <w:p w:rsidR="0020332F" w:rsidRPr="00947591" w:rsidRDefault="004F2CE7" w:rsidP="0020332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Bilješka redni broj 15</w:t>
      </w:r>
      <w:r w:rsidR="0020332F" w:rsidRPr="00947591">
        <w:rPr>
          <w:rFonts w:cs="Times New Roman"/>
          <w:sz w:val="24"/>
          <w:szCs w:val="24"/>
          <w:u w:val="single"/>
        </w:rPr>
        <w:t xml:space="preserve">. </w:t>
      </w:r>
      <w:r w:rsidR="0020332F" w:rsidRPr="00947591">
        <w:rPr>
          <w:rFonts w:cs="Times New Roman"/>
          <w:sz w:val="24"/>
          <w:szCs w:val="24"/>
        </w:rPr>
        <w:t xml:space="preserve">– AOP 108 – Rashodi amortizacije iznose </w:t>
      </w:r>
      <w:r w:rsidR="00A85BBB">
        <w:rPr>
          <w:rFonts w:cs="Times New Roman"/>
          <w:sz w:val="24"/>
          <w:szCs w:val="24"/>
        </w:rPr>
        <w:t>99</w:t>
      </w:r>
      <w:r w:rsidR="0020332F" w:rsidRPr="00947591">
        <w:rPr>
          <w:rFonts w:cs="Times New Roman"/>
          <w:sz w:val="24"/>
          <w:szCs w:val="24"/>
        </w:rPr>
        <w:t>.</w:t>
      </w:r>
      <w:r w:rsidR="00A85BBB">
        <w:rPr>
          <w:rFonts w:cs="Times New Roman"/>
          <w:sz w:val="24"/>
          <w:szCs w:val="24"/>
        </w:rPr>
        <w:t>099</w:t>
      </w:r>
      <w:r w:rsidR="0020332F" w:rsidRPr="00947591">
        <w:rPr>
          <w:rFonts w:cs="Times New Roman"/>
          <w:sz w:val="24"/>
          <w:szCs w:val="24"/>
        </w:rPr>
        <w:t>,00 kn u odnosu na 20</w:t>
      </w:r>
      <w:r w:rsidR="00A85BBB">
        <w:rPr>
          <w:rFonts w:cs="Times New Roman"/>
          <w:sz w:val="24"/>
          <w:szCs w:val="24"/>
        </w:rPr>
        <w:t>20</w:t>
      </w:r>
      <w:r w:rsidR="0020332F" w:rsidRPr="00947591">
        <w:rPr>
          <w:rFonts w:cs="Times New Roman"/>
          <w:sz w:val="24"/>
          <w:szCs w:val="24"/>
        </w:rPr>
        <w:t>. godinu kada su iznosili 83.286,00 kn</w:t>
      </w:r>
      <w:r w:rsidR="00A85BBB">
        <w:rPr>
          <w:rFonts w:cs="Times New Roman"/>
          <w:sz w:val="24"/>
          <w:szCs w:val="24"/>
        </w:rPr>
        <w:t>, a razlika se odnosi na novo kombi vozilo</w:t>
      </w:r>
      <w:r w:rsidR="0020332F" w:rsidRPr="00947591">
        <w:rPr>
          <w:rFonts w:cs="Times New Roman"/>
          <w:sz w:val="24"/>
          <w:szCs w:val="24"/>
        </w:rPr>
        <w:t>.</w:t>
      </w:r>
    </w:p>
    <w:p w:rsidR="00B749B8" w:rsidRPr="00947591" w:rsidRDefault="004F2CE7" w:rsidP="00E7270A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Bilješka redni broj 16</w:t>
      </w:r>
      <w:r w:rsidR="00B749B8" w:rsidRPr="00947591">
        <w:rPr>
          <w:rFonts w:cs="Times New Roman"/>
          <w:sz w:val="24"/>
          <w:szCs w:val="24"/>
          <w:u w:val="single"/>
        </w:rPr>
        <w:t xml:space="preserve">. </w:t>
      </w:r>
      <w:r w:rsidR="00B749B8" w:rsidRPr="00947591">
        <w:rPr>
          <w:rFonts w:cs="Times New Roman"/>
          <w:sz w:val="24"/>
          <w:szCs w:val="24"/>
        </w:rPr>
        <w:t xml:space="preserve">– AOP 109 – Financijski rashodi iznose </w:t>
      </w:r>
      <w:r w:rsidR="00760395" w:rsidRPr="00947591">
        <w:rPr>
          <w:rFonts w:cs="Times New Roman"/>
          <w:sz w:val="24"/>
          <w:szCs w:val="24"/>
        </w:rPr>
        <w:t>1.</w:t>
      </w:r>
      <w:r w:rsidR="00A85BBB">
        <w:rPr>
          <w:rFonts w:cs="Times New Roman"/>
          <w:sz w:val="24"/>
          <w:szCs w:val="24"/>
        </w:rPr>
        <w:t>831,00 kn u odnosu na 2020</w:t>
      </w:r>
      <w:r w:rsidR="00B749B8" w:rsidRPr="00947591">
        <w:rPr>
          <w:rFonts w:cs="Times New Roman"/>
          <w:sz w:val="24"/>
          <w:szCs w:val="24"/>
        </w:rPr>
        <w:t xml:space="preserve">. godinu kada su iznosili </w:t>
      </w:r>
      <w:r w:rsidR="0020332F" w:rsidRPr="00947591">
        <w:rPr>
          <w:rFonts w:cs="Times New Roman"/>
          <w:sz w:val="24"/>
          <w:szCs w:val="24"/>
        </w:rPr>
        <w:t>1</w:t>
      </w:r>
      <w:r w:rsidR="00760395" w:rsidRPr="00947591">
        <w:rPr>
          <w:rFonts w:cs="Times New Roman"/>
          <w:sz w:val="24"/>
          <w:szCs w:val="24"/>
        </w:rPr>
        <w:t>.</w:t>
      </w:r>
      <w:r w:rsidR="00A85BBB">
        <w:rPr>
          <w:rFonts w:cs="Times New Roman"/>
          <w:sz w:val="24"/>
          <w:szCs w:val="24"/>
        </w:rPr>
        <w:t>167</w:t>
      </w:r>
      <w:r w:rsidR="00760395" w:rsidRPr="00947591">
        <w:rPr>
          <w:rFonts w:cs="Times New Roman"/>
          <w:sz w:val="24"/>
          <w:szCs w:val="24"/>
        </w:rPr>
        <w:t xml:space="preserve">,00 </w:t>
      </w:r>
      <w:r w:rsidR="00B749B8" w:rsidRPr="00947591">
        <w:rPr>
          <w:rFonts w:cs="Times New Roman"/>
          <w:sz w:val="24"/>
          <w:szCs w:val="24"/>
        </w:rPr>
        <w:t>kn te se odnose na ostale financijske rashode odnosno bankarske usluge i usluge platnog prometa pod AOP 115 odnosno 116</w:t>
      </w:r>
      <w:r w:rsidR="00760395" w:rsidRPr="00947591">
        <w:rPr>
          <w:rFonts w:cs="Times New Roman"/>
          <w:sz w:val="24"/>
          <w:szCs w:val="24"/>
        </w:rPr>
        <w:t>.</w:t>
      </w:r>
    </w:p>
    <w:p w:rsidR="00991126" w:rsidRDefault="0019160F" w:rsidP="00E7270A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</w:t>
      </w:r>
      <w:r w:rsidR="004F2CE7">
        <w:rPr>
          <w:rFonts w:cs="Times New Roman"/>
          <w:sz w:val="24"/>
          <w:szCs w:val="24"/>
          <w:u w:val="single"/>
        </w:rPr>
        <w:t>a redni broj 17</w:t>
      </w:r>
      <w:r w:rsidR="00991126" w:rsidRPr="00947591">
        <w:rPr>
          <w:rFonts w:cs="Times New Roman"/>
          <w:sz w:val="24"/>
          <w:szCs w:val="24"/>
          <w:u w:val="single"/>
        </w:rPr>
        <w:t>.</w:t>
      </w:r>
      <w:r w:rsidR="00991126" w:rsidRPr="00947591">
        <w:rPr>
          <w:rFonts w:cs="Times New Roman"/>
          <w:sz w:val="24"/>
          <w:szCs w:val="24"/>
        </w:rPr>
        <w:t xml:space="preserve"> – AOP</w:t>
      </w:r>
      <w:r w:rsidR="00760395" w:rsidRPr="00947591">
        <w:rPr>
          <w:rFonts w:cs="Times New Roman"/>
          <w:sz w:val="24"/>
          <w:szCs w:val="24"/>
        </w:rPr>
        <w:t xml:space="preserve"> </w:t>
      </w:r>
      <w:r w:rsidRPr="00947591">
        <w:rPr>
          <w:rFonts w:cs="Times New Roman"/>
          <w:sz w:val="24"/>
          <w:szCs w:val="24"/>
        </w:rPr>
        <w:t xml:space="preserve">120 – Donacije iznose ukupno </w:t>
      </w:r>
      <w:r w:rsidR="00A85BBB">
        <w:rPr>
          <w:rFonts w:cs="Times New Roman"/>
          <w:sz w:val="24"/>
          <w:szCs w:val="24"/>
        </w:rPr>
        <w:t>728</w:t>
      </w:r>
      <w:r w:rsidRPr="00947591">
        <w:rPr>
          <w:rFonts w:cs="Times New Roman"/>
          <w:sz w:val="24"/>
          <w:szCs w:val="24"/>
        </w:rPr>
        <w:t>.</w:t>
      </w:r>
      <w:r w:rsidR="00A85BBB">
        <w:rPr>
          <w:rFonts w:cs="Times New Roman"/>
          <w:sz w:val="24"/>
          <w:szCs w:val="24"/>
        </w:rPr>
        <w:t>762</w:t>
      </w:r>
      <w:r w:rsidRPr="00947591">
        <w:rPr>
          <w:rFonts w:cs="Times New Roman"/>
          <w:sz w:val="24"/>
          <w:szCs w:val="24"/>
        </w:rPr>
        <w:t>,00 kn u odnosu na 20</w:t>
      </w:r>
      <w:r w:rsidR="00A85BBB">
        <w:rPr>
          <w:rFonts w:cs="Times New Roman"/>
          <w:sz w:val="24"/>
          <w:szCs w:val="24"/>
        </w:rPr>
        <w:t>20</w:t>
      </w:r>
      <w:r w:rsidRPr="00947591">
        <w:rPr>
          <w:rFonts w:cs="Times New Roman"/>
          <w:sz w:val="24"/>
          <w:szCs w:val="24"/>
        </w:rPr>
        <w:t xml:space="preserve">. godinu kada su iznosile </w:t>
      </w:r>
      <w:r w:rsidR="00A85BBB">
        <w:rPr>
          <w:rFonts w:cs="Times New Roman"/>
          <w:sz w:val="24"/>
          <w:szCs w:val="24"/>
        </w:rPr>
        <w:t>585</w:t>
      </w:r>
      <w:r w:rsidR="00991126" w:rsidRPr="00947591">
        <w:rPr>
          <w:rFonts w:cs="Times New Roman"/>
          <w:sz w:val="24"/>
          <w:szCs w:val="24"/>
        </w:rPr>
        <w:t>.000,00 kn sukladno provedenim javnim natječajima Zajednice sportskih udruga Grada Pazina prema Programu javnih potre</w:t>
      </w:r>
      <w:r w:rsidR="00760395" w:rsidRPr="00947591">
        <w:rPr>
          <w:rFonts w:cs="Times New Roman"/>
          <w:sz w:val="24"/>
          <w:szCs w:val="24"/>
        </w:rPr>
        <w:t xml:space="preserve">ba u sportu Grada </w:t>
      </w:r>
      <w:r w:rsidRPr="00947591">
        <w:rPr>
          <w:rFonts w:cs="Times New Roman"/>
          <w:sz w:val="24"/>
          <w:szCs w:val="24"/>
        </w:rPr>
        <w:t xml:space="preserve">Pazina za </w:t>
      </w:r>
      <w:r w:rsidR="00A85BBB">
        <w:rPr>
          <w:rFonts w:cs="Times New Roman"/>
          <w:sz w:val="24"/>
          <w:szCs w:val="24"/>
        </w:rPr>
        <w:t>2021</w:t>
      </w:r>
      <w:r w:rsidR="00991126" w:rsidRPr="00947591">
        <w:rPr>
          <w:rFonts w:cs="Times New Roman"/>
          <w:sz w:val="24"/>
          <w:szCs w:val="24"/>
        </w:rPr>
        <w:t>. godinu.</w:t>
      </w:r>
    </w:p>
    <w:p w:rsidR="00A85BBB" w:rsidRPr="00947591" w:rsidRDefault="00A85BBB" w:rsidP="00E7270A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Bilješka redni broj 18</w:t>
      </w:r>
      <w:r w:rsidRPr="00947591">
        <w:rPr>
          <w:rFonts w:cs="Times New Roman"/>
          <w:sz w:val="24"/>
          <w:szCs w:val="24"/>
          <w:u w:val="single"/>
        </w:rPr>
        <w:t>.</w:t>
      </w:r>
      <w:r w:rsidRPr="00947591">
        <w:rPr>
          <w:rFonts w:cs="Times New Roman"/>
          <w:sz w:val="24"/>
          <w:szCs w:val="24"/>
        </w:rPr>
        <w:t xml:space="preserve"> – AOP 1</w:t>
      </w:r>
      <w:r>
        <w:rPr>
          <w:rFonts w:cs="Times New Roman"/>
          <w:sz w:val="24"/>
          <w:szCs w:val="24"/>
        </w:rPr>
        <w:t>2</w:t>
      </w:r>
      <w:r w:rsidRPr="00947591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– Ostali rashodi iznose 80,00 kn u 2021. godini, dok su 2020. godini nije ih bilo, a odnose se na Penale, ležarine i drugo.</w:t>
      </w:r>
    </w:p>
    <w:p w:rsidR="001C7EF3" w:rsidRPr="00947591" w:rsidRDefault="00A85BBB" w:rsidP="00E7270A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Bilješka redni broj 19</w:t>
      </w:r>
      <w:r w:rsidR="000012E0" w:rsidRPr="00947591">
        <w:rPr>
          <w:rFonts w:cs="Times New Roman"/>
          <w:sz w:val="24"/>
          <w:szCs w:val="24"/>
          <w:u w:val="single"/>
        </w:rPr>
        <w:t>.</w:t>
      </w:r>
      <w:r w:rsidR="001C7EF3" w:rsidRPr="00947591">
        <w:rPr>
          <w:rFonts w:cs="Times New Roman"/>
          <w:sz w:val="24"/>
          <w:szCs w:val="24"/>
        </w:rPr>
        <w:t xml:space="preserve"> – AOP 148 – Ukupni rashodi iznose </w:t>
      </w:r>
      <w:r w:rsidR="00991126" w:rsidRPr="00947591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>357</w:t>
      </w:r>
      <w:r w:rsidR="00991126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586</w:t>
      </w:r>
      <w:r w:rsidR="00760395" w:rsidRPr="00947591">
        <w:rPr>
          <w:rFonts w:cs="Times New Roman"/>
          <w:sz w:val="24"/>
          <w:szCs w:val="24"/>
        </w:rPr>
        <w:t>,00 kn u odnosu na 20</w:t>
      </w:r>
      <w:r>
        <w:rPr>
          <w:rFonts w:cs="Times New Roman"/>
          <w:sz w:val="24"/>
          <w:szCs w:val="24"/>
        </w:rPr>
        <w:t>20</w:t>
      </w:r>
      <w:r w:rsidR="001C7EF3" w:rsidRPr="00947591">
        <w:rPr>
          <w:rFonts w:cs="Times New Roman"/>
          <w:sz w:val="24"/>
          <w:szCs w:val="24"/>
        </w:rPr>
        <w:t xml:space="preserve">. godinu </w:t>
      </w:r>
      <w:r w:rsidR="0019160F" w:rsidRPr="00947591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>099</w:t>
      </w:r>
      <w:r w:rsidR="0019160F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069</w:t>
      </w:r>
      <w:r w:rsidR="0019160F" w:rsidRPr="00947591">
        <w:rPr>
          <w:rFonts w:cs="Times New Roman"/>
          <w:sz w:val="24"/>
          <w:szCs w:val="24"/>
        </w:rPr>
        <w:t>,00</w:t>
      </w:r>
      <w:r w:rsidR="00760395" w:rsidRPr="00947591">
        <w:rPr>
          <w:rFonts w:cs="Times New Roman"/>
          <w:sz w:val="24"/>
          <w:szCs w:val="24"/>
        </w:rPr>
        <w:t xml:space="preserve">  kn što dovodi u 20</w:t>
      </w:r>
      <w:r w:rsidR="0019160F" w:rsidRPr="00947591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1</w:t>
      </w:r>
      <w:r w:rsidR="001C7EF3" w:rsidRPr="00947591">
        <w:rPr>
          <w:rFonts w:cs="Times New Roman"/>
          <w:sz w:val="24"/>
          <w:szCs w:val="24"/>
        </w:rPr>
        <w:t xml:space="preserve">. godini do </w:t>
      </w:r>
      <w:r>
        <w:rPr>
          <w:rFonts w:cs="Times New Roman"/>
          <w:sz w:val="24"/>
          <w:szCs w:val="24"/>
        </w:rPr>
        <w:t>manjka</w:t>
      </w:r>
      <w:r w:rsidR="001C7EF3" w:rsidRPr="00947591">
        <w:rPr>
          <w:rFonts w:cs="Times New Roman"/>
          <w:sz w:val="24"/>
          <w:szCs w:val="24"/>
        </w:rPr>
        <w:t xml:space="preserve"> </w:t>
      </w:r>
      <w:r w:rsidR="00782DFD" w:rsidRPr="00947591">
        <w:rPr>
          <w:rFonts w:cs="Times New Roman"/>
          <w:sz w:val="24"/>
          <w:szCs w:val="24"/>
        </w:rPr>
        <w:t xml:space="preserve">prihoda od </w:t>
      </w:r>
      <w:r>
        <w:rPr>
          <w:rFonts w:cs="Times New Roman"/>
          <w:sz w:val="24"/>
          <w:szCs w:val="24"/>
        </w:rPr>
        <w:t>11</w:t>
      </w:r>
      <w:r w:rsidR="00991126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935</w:t>
      </w:r>
      <w:r w:rsidR="001C7EF3" w:rsidRPr="00947591">
        <w:rPr>
          <w:rFonts w:cs="Times New Roman"/>
          <w:sz w:val="24"/>
          <w:szCs w:val="24"/>
        </w:rPr>
        <w:t xml:space="preserve">,00 kn </w:t>
      </w:r>
      <w:r w:rsidR="00991126" w:rsidRPr="00947591">
        <w:rPr>
          <w:rFonts w:cs="Times New Roman"/>
          <w:sz w:val="24"/>
          <w:szCs w:val="24"/>
        </w:rPr>
        <w:t>odnosno obzirom na preneseni v</w:t>
      </w:r>
      <w:r w:rsidR="0019160F" w:rsidRPr="00947591">
        <w:rPr>
          <w:rFonts w:cs="Times New Roman"/>
          <w:sz w:val="24"/>
          <w:szCs w:val="24"/>
        </w:rPr>
        <w:t>išak prihoda u iznosu od 3</w:t>
      </w:r>
      <w:r>
        <w:rPr>
          <w:rFonts w:cs="Times New Roman"/>
          <w:sz w:val="24"/>
          <w:szCs w:val="24"/>
        </w:rPr>
        <w:t>62</w:t>
      </w:r>
      <w:r w:rsidR="00991126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923</w:t>
      </w:r>
      <w:r w:rsidR="00991126" w:rsidRPr="00947591">
        <w:rPr>
          <w:rFonts w:cs="Times New Roman"/>
          <w:sz w:val="24"/>
          <w:szCs w:val="24"/>
        </w:rPr>
        <w:t>,00 kn iskazano AOP oznakom 151 do viška prihoda raspoloži</w:t>
      </w:r>
      <w:r w:rsidR="00760395" w:rsidRPr="00947591">
        <w:rPr>
          <w:rFonts w:cs="Times New Roman"/>
          <w:sz w:val="24"/>
          <w:szCs w:val="24"/>
        </w:rPr>
        <w:t>vog u sljedećem razdoblju od 35</w:t>
      </w:r>
      <w:r>
        <w:rPr>
          <w:rFonts w:cs="Times New Roman"/>
          <w:sz w:val="24"/>
          <w:szCs w:val="24"/>
        </w:rPr>
        <w:t>0</w:t>
      </w:r>
      <w:r w:rsidR="00991126" w:rsidRPr="0094759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988</w:t>
      </w:r>
      <w:r w:rsidR="00991126" w:rsidRPr="00947591">
        <w:rPr>
          <w:rFonts w:cs="Times New Roman"/>
          <w:sz w:val="24"/>
          <w:szCs w:val="24"/>
        </w:rPr>
        <w:t>,00 kn iskazano AOP oznakom 154</w:t>
      </w:r>
      <w:r w:rsidR="001C7EF3" w:rsidRPr="00947591">
        <w:rPr>
          <w:rFonts w:cs="Times New Roman"/>
          <w:sz w:val="24"/>
          <w:szCs w:val="24"/>
        </w:rPr>
        <w:t>.</w:t>
      </w:r>
    </w:p>
    <w:p w:rsidR="001547F6" w:rsidRPr="00947591" w:rsidRDefault="001547F6" w:rsidP="001547F6">
      <w:pPr>
        <w:spacing w:after="0"/>
        <w:jc w:val="both"/>
        <w:rPr>
          <w:rFonts w:cs="Times New Roman"/>
          <w:sz w:val="24"/>
          <w:szCs w:val="24"/>
        </w:rPr>
      </w:pPr>
    </w:p>
    <w:p w:rsidR="001547F6" w:rsidRPr="00947591" w:rsidRDefault="001547F6" w:rsidP="001547F6">
      <w:pPr>
        <w:pStyle w:val="Opisslike"/>
        <w:keepNext/>
        <w:jc w:val="both"/>
        <w:rPr>
          <w:rFonts w:cs="Times New Roman"/>
          <w:i w:val="0"/>
          <w:color w:val="auto"/>
          <w:sz w:val="24"/>
          <w:szCs w:val="24"/>
        </w:rPr>
      </w:pPr>
      <w:r w:rsidRPr="00947591">
        <w:rPr>
          <w:rFonts w:cs="Times New Roman"/>
          <w:i w:val="0"/>
          <w:color w:val="auto"/>
          <w:sz w:val="24"/>
          <w:szCs w:val="24"/>
        </w:rPr>
        <w:t xml:space="preserve">Grafikon </w:t>
      </w:r>
      <w:r w:rsidR="0019160F" w:rsidRPr="00947591">
        <w:rPr>
          <w:rFonts w:cs="Times New Roman"/>
          <w:i w:val="0"/>
          <w:color w:val="auto"/>
          <w:sz w:val="24"/>
          <w:szCs w:val="24"/>
        </w:rPr>
        <w:t>3</w:t>
      </w:r>
      <w:r w:rsidRPr="00947591">
        <w:rPr>
          <w:rFonts w:cs="Times New Roman"/>
          <w:i w:val="0"/>
          <w:color w:val="auto"/>
          <w:sz w:val="24"/>
          <w:szCs w:val="24"/>
        </w:rPr>
        <w:t xml:space="preserve">. Ukupni </w:t>
      </w:r>
      <w:r w:rsidR="001C7EF3" w:rsidRPr="00947591">
        <w:rPr>
          <w:rFonts w:cs="Times New Roman"/>
          <w:i w:val="0"/>
          <w:color w:val="auto"/>
          <w:sz w:val="24"/>
          <w:szCs w:val="24"/>
        </w:rPr>
        <w:t>rashod</w:t>
      </w:r>
      <w:r w:rsidR="00A85BBB">
        <w:rPr>
          <w:rFonts w:cs="Times New Roman"/>
          <w:i w:val="0"/>
          <w:color w:val="auto"/>
          <w:sz w:val="24"/>
          <w:szCs w:val="24"/>
        </w:rPr>
        <w:t>i 2020</w:t>
      </w:r>
      <w:r w:rsidR="0019160F" w:rsidRPr="00947591">
        <w:rPr>
          <w:rFonts w:cs="Times New Roman"/>
          <w:i w:val="0"/>
          <w:color w:val="auto"/>
          <w:sz w:val="24"/>
          <w:szCs w:val="24"/>
        </w:rPr>
        <w:t>. i 202</w:t>
      </w:r>
      <w:r w:rsidR="00A85BBB">
        <w:rPr>
          <w:rFonts w:cs="Times New Roman"/>
          <w:i w:val="0"/>
          <w:color w:val="auto"/>
          <w:sz w:val="24"/>
          <w:szCs w:val="24"/>
        </w:rPr>
        <w:t>1</w:t>
      </w:r>
      <w:r w:rsidRPr="00947591">
        <w:rPr>
          <w:rFonts w:cs="Times New Roman"/>
          <w:i w:val="0"/>
          <w:color w:val="auto"/>
          <w:sz w:val="24"/>
          <w:szCs w:val="24"/>
        </w:rPr>
        <w:t>. godine</w:t>
      </w:r>
    </w:p>
    <w:p w:rsidR="0019160F" w:rsidRPr="00947591" w:rsidRDefault="0019160F" w:rsidP="0019160F">
      <w:pPr>
        <w:rPr>
          <w:sz w:val="24"/>
          <w:szCs w:val="24"/>
        </w:rPr>
      </w:pPr>
      <w:r w:rsidRPr="00947591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829300" cy="2771775"/>
            <wp:effectExtent l="0" t="0" r="0" b="9525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47F6" w:rsidRPr="00947591" w:rsidRDefault="001547F6" w:rsidP="001547F6">
      <w:pPr>
        <w:pStyle w:val="Opisslike"/>
        <w:keepNext/>
        <w:jc w:val="both"/>
        <w:rPr>
          <w:rFonts w:cs="Times New Roman"/>
          <w:i w:val="0"/>
          <w:color w:val="auto"/>
          <w:sz w:val="24"/>
          <w:szCs w:val="24"/>
        </w:rPr>
      </w:pPr>
      <w:r w:rsidRPr="00947591">
        <w:rPr>
          <w:rFonts w:cs="Times New Roman"/>
          <w:i w:val="0"/>
          <w:color w:val="auto"/>
          <w:sz w:val="24"/>
          <w:szCs w:val="24"/>
        </w:rPr>
        <w:lastRenderedPageBreak/>
        <w:t xml:space="preserve">Grafikon </w:t>
      </w:r>
      <w:r w:rsidR="0019160F" w:rsidRPr="00947591">
        <w:rPr>
          <w:rFonts w:cs="Times New Roman"/>
          <w:i w:val="0"/>
          <w:color w:val="auto"/>
          <w:sz w:val="24"/>
          <w:szCs w:val="24"/>
        </w:rPr>
        <w:t>4</w:t>
      </w:r>
      <w:r w:rsidRPr="00947591">
        <w:rPr>
          <w:rFonts w:cs="Times New Roman"/>
          <w:i w:val="0"/>
          <w:color w:val="auto"/>
          <w:sz w:val="24"/>
          <w:szCs w:val="24"/>
        </w:rPr>
        <w:t xml:space="preserve">. Analitika </w:t>
      </w:r>
      <w:r w:rsidR="001C7EF3" w:rsidRPr="00947591">
        <w:rPr>
          <w:rFonts w:cs="Times New Roman"/>
          <w:i w:val="0"/>
          <w:color w:val="auto"/>
          <w:sz w:val="24"/>
          <w:szCs w:val="24"/>
        </w:rPr>
        <w:t>rashoda</w:t>
      </w:r>
      <w:r w:rsidR="00A85BBB">
        <w:rPr>
          <w:rFonts w:cs="Times New Roman"/>
          <w:i w:val="0"/>
          <w:color w:val="auto"/>
          <w:sz w:val="24"/>
          <w:szCs w:val="24"/>
        </w:rPr>
        <w:t xml:space="preserve"> 2020</w:t>
      </w:r>
      <w:r w:rsidR="004D6A14" w:rsidRPr="00947591">
        <w:rPr>
          <w:rFonts w:cs="Times New Roman"/>
          <w:i w:val="0"/>
          <w:color w:val="auto"/>
          <w:sz w:val="24"/>
          <w:szCs w:val="24"/>
        </w:rPr>
        <w:t>. i 20</w:t>
      </w:r>
      <w:r w:rsidR="00A85BBB">
        <w:rPr>
          <w:rFonts w:cs="Times New Roman"/>
          <w:i w:val="0"/>
          <w:color w:val="auto"/>
          <w:sz w:val="24"/>
          <w:szCs w:val="24"/>
        </w:rPr>
        <w:t>21</w:t>
      </w:r>
      <w:r w:rsidRPr="00947591">
        <w:rPr>
          <w:rFonts w:cs="Times New Roman"/>
          <w:i w:val="0"/>
          <w:color w:val="auto"/>
          <w:sz w:val="24"/>
          <w:szCs w:val="24"/>
        </w:rPr>
        <w:t>. godine</w:t>
      </w:r>
    </w:p>
    <w:p w:rsidR="0019160F" w:rsidRPr="00947591" w:rsidRDefault="0019160F" w:rsidP="0019160F">
      <w:pPr>
        <w:rPr>
          <w:sz w:val="24"/>
          <w:szCs w:val="24"/>
        </w:rPr>
      </w:pPr>
      <w:r w:rsidRPr="00947591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486400" cy="3200400"/>
            <wp:effectExtent l="0" t="0" r="0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2845" w:rsidRPr="00947591" w:rsidRDefault="00422845" w:rsidP="00422845">
      <w:pPr>
        <w:jc w:val="center"/>
        <w:rPr>
          <w:sz w:val="24"/>
          <w:szCs w:val="24"/>
        </w:rPr>
      </w:pPr>
    </w:p>
    <w:p w:rsidR="001752E6" w:rsidRPr="00947591" w:rsidRDefault="001547F6" w:rsidP="00E16FBF">
      <w:pPr>
        <w:pStyle w:val="Opisslike"/>
        <w:keepNext/>
        <w:jc w:val="both"/>
        <w:rPr>
          <w:rFonts w:cs="Times New Roman"/>
          <w:i w:val="0"/>
          <w:color w:val="auto"/>
          <w:sz w:val="24"/>
          <w:szCs w:val="24"/>
        </w:rPr>
      </w:pPr>
      <w:r w:rsidRPr="00947591">
        <w:rPr>
          <w:rFonts w:cs="Times New Roman"/>
          <w:i w:val="0"/>
          <w:color w:val="auto"/>
          <w:sz w:val="24"/>
          <w:szCs w:val="24"/>
        </w:rPr>
        <w:t xml:space="preserve">Grafikon </w:t>
      </w:r>
      <w:r w:rsidR="0019160F" w:rsidRPr="00947591">
        <w:rPr>
          <w:rFonts w:cs="Times New Roman"/>
          <w:i w:val="0"/>
          <w:color w:val="auto"/>
          <w:sz w:val="24"/>
          <w:szCs w:val="24"/>
        </w:rPr>
        <w:t>5</w:t>
      </w:r>
      <w:r w:rsidRPr="00947591">
        <w:rPr>
          <w:rFonts w:cs="Times New Roman"/>
          <w:i w:val="0"/>
          <w:color w:val="auto"/>
          <w:sz w:val="24"/>
          <w:szCs w:val="24"/>
        </w:rPr>
        <w:t xml:space="preserve">. Ukupni </w:t>
      </w:r>
      <w:r w:rsidR="001C7EF3" w:rsidRPr="00947591">
        <w:rPr>
          <w:rFonts w:cs="Times New Roman"/>
          <w:i w:val="0"/>
          <w:color w:val="auto"/>
          <w:sz w:val="24"/>
          <w:szCs w:val="24"/>
        </w:rPr>
        <w:t>prihodi i rashodi</w:t>
      </w:r>
      <w:r w:rsidR="00E62048">
        <w:rPr>
          <w:rFonts w:cs="Times New Roman"/>
          <w:i w:val="0"/>
          <w:color w:val="auto"/>
          <w:sz w:val="24"/>
          <w:szCs w:val="24"/>
        </w:rPr>
        <w:t xml:space="preserve"> 2020</w:t>
      </w:r>
      <w:r w:rsidR="0019160F" w:rsidRPr="00947591">
        <w:rPr>
          <w:rFonts w:cs="Times New Roman"/>
          <w:i w:val="0"/>
          <w:color w:val="auto"/>
          <w:sz w:val="24"/>
          <w:szCs w:val="24"/>
        </w:rPr>
        <w:t>. i 202</w:t>
      </w:r>
      <w:r w:rsidR="00E62048">
        <w:rPr>
          <w:rFonts w:cs="Times New Roman"/>
          <w:i w:val="0"/>
          <w:color w:val="auto"/>
          <w:sz w:val="24"/>
          <w:szCs w:val="24"/>
        </w:rPr>
        <w:t>1</w:t>
      </w:r>
      <w:r w:rsidRPr="00947591">
        <w:rPr>
          <w:rFonts w:cs="Times New Roman"/>
          <w:i w:val="0"/>
          <w:color w:val="auto"/>
          <w:sz w:val="24"/>
          <w:szCs w:val="24"/>
        </w:rPr>
        <w:t>. godine</w:t>
      </w:r>
    </w:p>
    <w:p w:rsidR="0019160F" w:rsidRPr="00947591" w:rsidRDefault="00F1506F" w:rsidP="0019160F">
      <w:pPr>
        <w:rPr>
          <w:sz w:val="24"/>
          <w:szCs w:val="24"/>
        </w:rPr>
      </w:pPr>
      <w:r w:rsidRPr="00947591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486400" cy="3200400"/>
            <wp:effectExtent l="0" t="0" r="0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3B80" w:rsidRPr="00947591" w:rsidRDefault="00923B80" w:rsidP="00294AD3">
      <w:pPr>
        <w:ind w:firstLine="708"/>
        <w:jc w:val="center"/>
        <w:rPr>
          <w:noProof/>
          <w:sz w:val="24"/>
          <w:szCs w:val="24"/>
          <w:lang w:val="hr-HR" w:eastAsia="hr-HR"/>
        </w:rPr>
      </w:pPr>
    </w:p>
    <w:p w:rsidR="00F1506F" w:rsidRPr="00947591" w:rsidRDefault="00F1506F" w:rsidP="00294AD3">
      <w:pPr>
        <w:ind w:firstLine="708"/>
        <w:jc w:val="center"/>
        <w:rPr>
          <w:rFonts w:cs="Times New Roman"/>
          <w:sz w:val="24"/>
          <w:szCs w:val="24"/>
        </w:rPr>
      </w:pPr>
    </w:p>
    <w:p w:rsidR="008077C5" w:rsidRDefault="008077C5" w:rsidP="006701BE">
      <w:pPr>
        <w:ind w:firstLine="708"/>
        <w:jc w:val="both"/>
        <w:rPr>
          <w:rFonts w:cs="Times New Roman"/>
          <w:sz w:val="24"/>
          <w:szCs w:val="24"/>
        </w:rPr>
      </w:pPr>
    </w:p>
    <w:p w:rsidR="00E62048" w:rsidRPr="00947591" w:rsidRDefault="00E62048" w:rsidP="006701BE">
      <w:pPr>
        <w:ind w:firstLine="708"/>
        <w:jc w:val="both"/>
        <w:rPr>
          <w:rFonts w:cs="Times New Roman"/>
          <w:sz w:val="24"/>
          <w:szCs w:val="24"/>
        </w:rPr>
      </w:pPr>
    </w:p>
    <w:p w:rsidR="008532A0" w:rsidRPr="00947591" w:rsidRDefault="008532A0" w:rsidP="008532A0">
      <w:pPr>
        <w:jc w:val="both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lastRenderedPageBreak/>
        <w:t>Bilješke uz financijski izvještaj – Bi</w:t>
      </w:r>
      <w:r w:rsidR="00F1506F" w:rsidRPr="00947591">
        <w:rPr>
          <w:rFonts w:cs="Times New Roman"/>
          <w:b/>
          <w:sz w:val="24"/>
          <w:szCs w:val="24"/>
        </w:rPr>
        <w:t>lanca za razdoblje od 01.01.202</w:t>
      </w:r>
      <w:r w:rsidR="00E62048">
        <w:rPr>
          <w:rFonts w:cs="Times New Roman"/>
          <w:b/>
          <w:sz w:val="24"/>
          <w:szCs w:val="24"/>
        </w:rPr>
        <w:t>1</w:t>
      </w:r>
      <w:r w:rsidR="00F1506F" w:rsidRPr="00947591">
        <w:rPr>
          <w:rFonts w:cs="Times New Roman"/>
          <w:b/>
          <w:sz w:val="24"/>
          <w:szCs w:val="24"/>
        </w:rPr>
        <w:t>. do 31.12.202</w:t>
      </w:r>
      <w:r w:rsidR="00E62048">
        <w:rPr>
          <w:rFonts w:cs="Times New Roman"/>
          <w:b/>
          <w:sz w:val="24"/>
          <w:szCs w:val="24"/>
        </w:rPr>
        <w:t>1</w:t>
      </w:r>
      <w:r w:rsidRPr="00947591">
        <w:rPr>
          <w:rFonts w:cs="Times New Roman"/>
          <w:b/>
          <w:sz w:val="24"/>
          <w:szCs w:val="24"/>
        </w:rPr>
        <w:t>. godine</w:t>
      </w:r>
    </w:p>
    <w:p w:rsidR="00E62048" w:rsidRDefault="001C7EF3" w:rsidP="00E62048">
      <w:pPr>
        <w:spacing w:after="0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ab/>
      </w:r>
      <w:r w:rsidR="00E62048">
        <w:rPr>
          <w:rFonts w:cs="Times New Roman"/>
          <w:sz w:val="24"/>
          <w:szCs w:val="24"/>
          <w:u w:val="single"/>
        </w:rPr>
        <w:t>Bilješka redni broj 20</w:t>
      </w:r>
      <w:r w:rsidR="000012E0" w:rsidRPr="00947591">
        <w:rPr>
          <w:rFonts w:cs="Times New Roman"/>
          <w:sz w:val="24"/>
          <w:szCs w:val="24"/>
          <w:u w:val="single"/>
        </w:rPr>
        <w:t>.</w:t>
      </w:r>
      <w:r w:rsidR="00A91D8A" w:rsidRPr="00947591">
        <w:rPr>
          <w:rFonts w:cs="Times New Roman"/>
          <w:sz w:val="24"/>
          <w:szCs w:val="24"/>
          <w:u w:val="single"/>
        </w:rPr>
        <w:t xml:space="preserve"> </w:t>
      </w:r>
      <w:r w:rsidR="00A91D8A" w:rsidRPr="00947591">
        <w:rPr>
          <w:rFonts w:cs="Times New Roman"/>
          <w:sz w:val="24"/>
          <w:szCs w:val="24"/>
        </w:rPr>
        <w:t xml:space="preserve">– AOP 001 – Imovina iznosi </w:t>
      </w:r>
      <w:r w:rsidR="00E62048">
        <w:rPr>
          <w:rFonts w:cs="Times New Roman"/>
          <w:sz w:val="24"/>
          <w:szCs w:val="24"/>
        </w:rPr>
        <w:t>443</w:t>
      </w:r>
      <w:r w:rsidR="004D6A14" w:rsidRPr="00947591">
        <w:rPr>
          <w:rFonts w:cs="Times New Roman"/>
          <w:sz w:val="24"/>
          <w:szCs w:val="24"/>
        </w:rPr>
        <w:t>.</w:t>
      </w:r>
      <w:r w:rsidR="00E62048">
        <w:rPr>
          <w:rFonts w:cs="Times New Roman"/>
          <w:sz w:val="24"/>
          <w:szCs w:val="24"/>
        </w:rPr>
        <w:t>176</w:t>
      </w:r>
      <w:r w:rsidR="00F1506F" w:rsidRPr="00947591">
        <w:rPr>
          <w:rFonts w:cs="Times New Roman"/>
          <w:sz w:val="24"/>
          <w:szCs w:val="24"/>
        </w:rPr>
        <w:t>,00 kn u odnosu na 20</w:t>
      </w:r>
      <w:r w:rsidR="00E62048">
        <w:rPr>
          <w:rFonts w:cs="Times New Roman"/>
          <w:sz w:val="24"/>
          <w:szCs w:val="24"/>
        </w:rPr>
        <w:t>20</w:t>
      </w:r>
      <w:r w:rsidR="00A91D8A" w:rsidRPr="00947591">
        <w:rPr>
          <w:rFonts w:cs="Times New Roman"/>
          <w:sz w:val="24"/>
          <w:szCs w:val="24"/>
        </w:rPr>
        <w:t xml:space="preserve">. godinu </w:t>
      </w:r>
      <w:r w:rsidR="00E62048">
        <w:rPr>
          <w:rFonts w:cs="Times New Roman"/>
          <w:sz w:val="24"/>
          <w:szCs w:val="24"/>
        </w:rPr>
        <w:t>371</w:t>
      </w:r>
      <w:r w:rsidR="00F1506F" w:rsidRPr="00947591">
        <w:rPr>
          <w:rFonts w:cs="Times New Roman"/>
          <w:sz w:val="24"/>
          <w:szCs w:val="24"/>
        </w:rPr>
        <w:t>.</w:t>
      </w:r>
      <w:r w:rsidR="00E62048">
        <w:rPr>
          <w:rFonts w:cs="Times New Roman"/>
          <w:sz w:val="24"/>
          <w:szCs w:val="24"/>
        </w:rPr>
        <w:t>015</w:t>
      </w:r>
      <w:r w:rsidR="00F1506F" w:rsidRPr="00947591">
        <w:rPr>
          <w:rFonts w:cs="Times New Roman"/>
          <w:sz w:val="24"/>
          <w:szCs w:val="24"/>
        </w:rPr>
        <w:t>,00</w:t>
      </w:r>
      <w:r w:rsidR="004D6A14" w:rsidRPr="00947591">
        <w:rPr>
          <w:rFonts w:cs="Times New Roman"/>
          <w:sz w:val="24"/>
          <w:szCs w:val="24"/>
        </w:rPr>
        <w:t xml:space="preserve"> </w:t>
      </w:r>
      <w:r w:rsidR="001B5B0F" w:rsidRPr="00947591">
        <w:rPr>
          <w:rFonts w:cs="Times New Roman"/>
          <w:sz w:val="24"/>
          <w:szCs w:val="24"/>
        </w:rPr>
        <w:t>kn.</w:t>
      </w:r>
      <w:r w:rsidR="001B5B0F" w:rsidRPr="00947591">
        <w:rPr>
          <w:rFonts w:cs="Times New Roman"/>
          <w:sz w:val="24"/>
          <w:szCs w:val="24"/>
        </w:rPr>
        <w:tab/>
      </w:r>
      <w:r w:rsidR="001B5B0F" w:rsidRPr="00947591">
        <w:rPr>
          <w:rFonts w:cs="Times New Roman"/>
          <w:sz w:val="24"/>
          <w:szCs w:val="24"/>
        </w:rPr>
        <w:tab/>
      </w:r>
      <w:r w:rsidR="001B5B0F" w:rsidRPr="00947591">
        <w:rPr>
          <w:rFonts w:cs="Times New Roman"/>
          <w:sz w:val="24"/>
          <w:szCs w:val="24"/>
        </w:rPr>
        <w:tab/>
      </w:r>
      <w:r w:rsidR="001B5B0F" w:rsidRPr="00947591">
        <w:rPr>
          <w:rFonts w:cs="Times New Roman"/>
          <w:sz w:val="24"/>
          <w:szCs w:val="24"/>
        </w:rPr>
        <w:tab/>
      </w:r>
      <w:r w:rsidR="001B5B0F" w:rsidRPr="00947591">
        <w:rPr>
          <w:rFonts w:cs="Times New Roman"/>
          <w:sz w:val="24"/>
          <w:szCs w:val="24"/>
        </w:rPr>
        <w:tab/>
      </w:r>
      <w:r w:rsidR="001B5B0F" w:rsidRPr="00947591">
        <w:rPr>
          <w:rFonts w:cs="Times New Roman"/>
          <w:sz w:val="24"/>
          <w:szCs w:val="24"/>
        </w:rPr>
        <w:tab/>
      </w:r>
      <w:r w:rsidR="001B5B0F" w:rsidRPr="00947591">
        <w:rPr>
          <w:rFonts w:cs="Times New Roman"/>
          <w:sz w:val="24"/>
          <w:szCs w:val="24"/>
        </w:rPr>
        <w:tab/>
      </w:r>
      <w:r w:rsidR="001B5B0F" w:rsidRPr="00947591">
        <w:rPr>
          <w:rFonts w:cs="Times New Roman"/>
          <w:sz w:val="24"/>
          <w:szCs w:val="24"/>
        </w:rPr>
        <w:tab/>
      </w:r>
    </w:p>
    <w:p w:rsidR="00F26585" w:rsidRPr="00947591" w:rsidRDefault="00F1506F" w:rsidP="00E6204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 xml:space="preserve">Bilješka redni </w:t>
      </w:r>
      <w:r w:rsidR="00E62048">
        <w:rPr>
          <w:rFonts w:cs="Times New Roman"/>
          <w:sz w:val="24"/>
          <w:szCs w:val="24"/>
          <w:u w:val="single"/>
        </w:rPr>
        <w:t>broj 21</w:t>
      </w:r>
      <w:r w:rsidR="000012E0" w:rsidRPr="00947591">
        <w:rPr>
          <w:rFonts w:cs="Times New Roman"/>
          <w:sz w:val="24"/>
          <w:szCs w:val="24"/>
          <w:u w:val="single"/>
        </w:rPr>
        <w:t>.</w:t>
      </w:r>
      <w:r w:rsidR="001B5B0F" w:rsidRPr="00947591">
        <w:rPr>
          <w:rFonts w:cs="Times New Roman"/>
          <w:sz w:val="24"/>
          <w:szCs w:val="24"/>
        </w:rPr>
        <w:t xml:space="preserve"> – AOP 002 – Nefinancijska imovina iznosi </w:t>
      </w:r>
      <w:r w:rsidR="00AE6360" w:rsidRPr="00947591">
        <w:rPr>
          <w:rFonts w:cs="Times New Roman"/>
          <w:sz w:val="24"/>
          <w:szCs w:val="24"/>
        </w:rPr>
        <w:t>2</w:t>
      </w:r>
      <w:r w:rsidR="00E62048">
        <w:rPr>
          <w:rFonts w:cs="Times New Roman"/>
          <w:sz w:val="24"/>
          <w:szCs w:val="24"/>
        </w:rPr>
        <w:t>72</w:t>
      </w:r>
      <w:r w:rsidR="00AE6360" w:rsidRPr="00947591">
        <w:rPr>
          <w:rFonts w:cs="Times New Roman"/>
          <w:sz w:val="24"/>
          <w:szCs w:val="24"/>
        </w:rPr>
        <w:t>.</w:t>
      </w:r>
      <w:r w:rsidR="00E62048">
        <w:rPr>
          <w:rFonts w:cs="Times New Roman"/>
          <w:sz w:val="24"/>
          <w:szCs w:val="24"/>
        </w:rPr>
        <w:t>282</w:t>
      </w:r>
      <w:r w:rsidR="004D6A14" w:rsidRPr="00947591">
        <w:rPr>
          <w:rFonts w:cs="Times New Roman"/>
          <w:sz w:val="24"/>
          <w:szCs w:val="24"/>
        </w:rPr>
        <w:t>,00 kn u odnosu na 20</w:t>
      </w:r>
      <w:r w:rsidR="00E62048">
        <w:rPr>
          <w:rFonts w:cs="Times New Roman"/>
          <w:sz w:val="24"/>
          <w:szCs w:val="24"/>
        </w:rPr>
        <w:t>20</w:t>
      </w:r>
      <w:r w:rsidR="00AE6360" w:rsidRPr="00947591">
        <w:rPr>
          <w:rFonts w:cs="Times New Roman"/>
          <w:sz w:val="24"/>
          <w:szCs w:val="24"/>
        </w:rPr>
        <w:t xml:space="preserve">. godinu kada je iznosila </w:t>
      </w:r>
      <w:r w:rsidRPr="00947591">
        <w:rPr>
          <w:rFonts w:cs="Times New Roman"/>
          <w:sz w:val="24"/>
          <w:szCs w:val="24"/>
        </w:rPr>
        <w:t>2</w:t>
      </w:r>
      <w:r w:rsidR="00E62048">
        <w:rPr>
          <w:rFonts w:cs="Times New Roman"/>
          <w:sz w:val="24"/>
          <w:szCs w:val="24"/>
        </w:rPr>
        <w:t>01</w:t>
      </w:r>
      <w:r w:rsidRPr="00947591">
        <w:rPr>
          <w:rFonts w:cs="Times New Roman"/>
          <w:sz w:val="24"/>
          <w:szCs w:val="24"/>
        </w:rPr>
        <w:t>.</w:t>
      </w:r>
      <w:r w:rsidR="00E62048">
        <w:rPr>
          <w:rFonts w:cs="Times New Roman"/>
          <w:sz w:val="24"/>
          <w:szCs w:val="24"/>
        </w:rPr>
        <w:t>481</w:t>
      </w:r>
      <w:r w:rsidRPr="00947591">
        <w:rPr>
          <w:rFonts w:cs="Times New Roman"/>
          <w:sz w:val="24"/>
          <w:szCs w:val="24"/>
        </w:rPr>
        <w:t>,00</w:t>
      </w:r>
      <w:r w:rsidR="004D6A14" w:rsidRPr="00947591">
        <w:rPr>
          <w:rFonts w:cs="Times New Roman"/>
          <w:sz w:val="24"/>
          <w:szCs w:val="24"/>
        </w:rPr>
        <w:t xml:space="preserve"> </w:t>
      </w:r>
      <w:r w:rsidR="00F26585" w:rsidRPr="00947591">
        <w:rPr>
          <w:rFonts w:cs="Times New Roman"/>
          <w:sz w:val="24"/>
          <w:szCs w:val="24"/>
        </w:rPr>
        <w:t>kn.</w:t>
      </w:r>
    </w:p>
    <w:p w:rsidR="00F1506F" w:rsidRPr="00947591" w:rsidRDefault="00F1506F" w:rsidP="00E6204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2</w:t>
      </w:r>
      <w:r w:rsidR="00E62048">
        <w:rPr>
          <w:rFonts w:cs="Times New Roman"/>
          <w:sz w:val="24"/>
          <w:szCs w:val="24"/>
          <w:u w:val="single"/>
        </w:rPr>
        <w:t>2</w:t>
      </w:r>
      <w:r w:rsidR="000012E0" w:rsidRPr="00947591">
        <w:rPr>
          <w:rFonts w:cs="Times New Roman"/>
          <w:sz w:val="24"/>
          <w:szCs w:val="24"/>
          <w:u w:val="single"/>
        </w:rPr>
        <w:t>.</w:t>
      </w:r>
      <w:r w:rsidR="00AE6360" w:rsidRPr="00947591">
        <w:rPr>
          <w:rFonts w:cs="Times New Roman"/>
          <w:sz w:val="24"/>
          <w:szCs w:val="24"/>
        </w:rPr>
        <w:t xml:space="preserve"> – AOP 018 – Proizvedena dugotrajna imovina u iznosu od </w:t>
      </w:r>
      <w:r w:rsidR="004D6A14" w:rsidRPr="00947591">
        <w:rPr>
          <w:rFonts w:cs="Times New Roman"/>
          <w:sz w:val="24"/>
          <w:szCs w:val="24"/>
        </w:rPr>
        <w:t>2</w:t>
      </w:r>
      <w:r w:rsidR="00E62048">
        <w:rPr>
          <w:rFonts w:cs="Times New Roman"/>
          <w:sz w:val="24"/>
          <w:szCs w:val="24"/>
        </w:rPr>
        <w:t>72</w:t>
      </w:r>
      <w:r w:rsidR="00AE6360" w:rsidRPr="00947591">
        <w:rPr>
          <w:rFonts w:cs="Times New Roman"/>
          <w:sz w:val="24"/>
          <w:szCs w:val="24"/>
        </w:rPr>
        <w:t>.</w:t>
      </w:r>
      <w:r w:rsidR="00E62048">
        <w:rPr>
          <w:rFonts w:cs="Times New Roman"/>
          <w:sz w:val="24"/>
          <w:szCs w:val="24"/>
        </w:rPr>
        <w:t>282</w:t>
      </w:r>
      <w:r w:rsidR="00AE6360" w:rsidRPr="00947591">
        <w:rPr>
          <w:rFonts w:cs="Times New Roman"/>
          <w:sz w:val="24"/>
          <w:szCs w:val="24"/>
        </w:rPr>
        <w:t xml:space="preserve">,00 kn odnosi se na </w:t>
      </w:r>
      <w:r w:rsidR="00E62048">
        <w:rPr>
          <w:rFonts w:cs="Times New Roman"/>
          <w:sz w:val="24"/>
          <w:szCs w:val="24"/>
        </w:rPr>
        <w:t>153</w:t>
      </w:r>
      <w:r w:rsidRPr="00947591">
        <w:rPr>
          <w:rFonts w:cs="Times New Roman"/>
          <w:sz w:val="24"/>
          <w:szCs w:val="24"/>
        </w:rPr>
        <w:t>.7</w:t>
      </w:r>
      <w:r w:rsidR="00E62048">
        <w:rPr>
          <w:rFonts w:cs="Times New Roman"/>
          <w:sz w:val="24"/>
          <w:szCs w:val="24"/>
        </w:rPr>
        <w:t>67</w:t>
      </w:r>
      <w:r w:rsidRPr="00947591">
        <w:rPr>
          <w:rFonts w:cs="Times New Roman"/>
          <w:sz w:val="24"/>
          <w:szCs w:val="24"/>
        </w:rPr>
        <w:t>,00</w:t>
      </w:r>
      <w:r w:rsidR="0003678B" w:rsidRPr="00947591">
        <w:rPr>
          <w:rFonts w:cs="Times New Roman"/>
          <w:sz w:val="24"/>
          <w:szCs w:val="24"/>
        </w:rPr>
        <w:t xml:space="preserve"> kn građevinskih objekata  iskazanih AOP oznakom 019 odnosno 022, potom </w:t>
      </w:r>
      <w:r w:rsidRPr="00947591">
        <w:rPr>
          <w:rFonts w:cs="Times New Roman"/>
          <w:sz w:val="24"/>
          <w:szCs w:val="24"/>
        </w:rPr>
        <w:t>434</w:t>
      </w:r>
      <w:r w:rsidR="0003678B" w:rsidRPr="00947591">
        <w:rPr>
          <w:rFonts w:cs="Times New Roman"/>
          <w:sz w:val="24"/>
          <w:szCs w:val="24"/>
        </w:rPr>
        <w:t>.</w:t>
      </w:r>
      <w:r w:rsidRPr="00947591">
        <w:rPr>
          <w:rFonts w:cs="Times New Roman"/>
          <w:sz w:val="24"/>
          <w:szCs w:val="24"/>
        </w:rPr>
        <w:t>442</w:t>
      </w:r>
      <w:r w:rsidR="0003678B" w:rsidRPr="00947591">
        <w:rPr>
          <w:rFonts w:cs="Times New Roman"/>
          <w:sz w:val="24"/>
          <w:szCs w:val="24"/>
        </w:rPr>
        <w:t xml:space="preserve">,00 kn postrojenja i opreme i to 29.247,00 kn uredske opreme i namještaja, 4.054,00 kn komunikacijske opreme, </w:t>
      </w:r>
      <w:r w:rsidRPr="00947591">
        <w:rPr>
          <w:rFonts w:cs="Times New Roman"/>
          <w:sz w:val="24"/>
          <w:szCs w:val="24"/>
        </w:rPr>
        <w:t>325</w:t>
      </w:r>
      <w:r w:rsidR="0003678B" w:rsidRPr="00947591">
        <w:rPr>
          <w:rFonts w:cs="Times New Roman"/>
          <w:sz w:val="24"/>
          <w:szCs w:val="24"/>
        </w:rPr>
        <w:t>.</w:t>
      </w:r>
      <w:r w:rsidRPr="00947591">
        <w:rPr>
          <w:rFonts w:cs="Times New Roman"/>
          <w:sz w:val="24"/>
          <w:szCs w:val="24"/>
        </w:rPr>
        <w:t>399</w:t>
      </w:r>
      <w:r w:rsidR="0003678B" w:rsidRPr="00947591">
        <w:rPr>
          <w:rFonts w:cs="Times New Roman"/>
          <w:sz w:val="24"/>
          <w:szCs w:val="24"/>
        </w:rPr>
        <w:t>,00 kn sportske opreme i 75.742,00 kn ostalih uređaja i strojeva.</w:t>
      </w:r>
      <w:r w:rsidR="0067703C" w:rsidRPr="00947591">
        <w:rPr>
          <w:rFonts w:cs="Times New Roman"/>
          <w:sz w:val="24"/>
          <w:szCs w:val="24"/>
        </w:rPr>
        <w:t xml:space="preserve"> Nadalje proizvedena dugotrajna imovina sastoji se od </w:t>
      </w:r>
      <w:r w:rsidR="001161AD">
        <w:rPr>
          <w:rFonts w:cs="Times New Roman"/>
          <w:sz w:val="24"/>
          <w:szCs w:val="24"/>
        </w:rPr>
        <w:t>515</w:t>
      </w:r>
      <w:r w:rsidR="0067703C" w:rsidRPr="00947591">
        <w:rPr>
          <w:rFonts w:cs="Times New Roman"/>
          <w:sz w:val="24"/>
          <w:szCs w:val="24"/>
        </w:rPr>
        <w:t>.</w:t>
      </w:r>
      <w:r w:rsidR="001161AD">
        <w:rPr>
          <w:rFonts w:cs="Times New Roman"/>
          <w:sz w:val="24"/>
          <w:szCs w:val="24"/>
        </w:rPr>
        <w:t>3</w:t>
      </w:r>
      <w:r w:rsidR="0067703C" w:rsidRPr="00947591">
        <w:rPr>
          <w:rFonts w:cs="Times New Roman"/>
          <w:sz w:val="24"/>
          <w:szCs w:val="24"/>
        </w:rPr>
        <w:t xml:space="preserve">21,00 kn prijevoznih sredstava, dok ispravak vrijednosti proizvedene dugotrajne imovine iznosi </w:t>
      </w:r>
      <w:r w:rsidR="001161AD">
        <w:rPr>
          <w:rFonts w:cs="Times New Roman"/>
          <w:sz w:val="24"/>
          <w:szCs w:val="24"/>
        </w:rPr>
        <w:t>831</w:t>
      </w:r>
      <w:r w:rsidR="0067703C" w:rsidRPr="00947591">
        <w:rPr>
          <w:rFonts w:cs="Times New Roman"/>
          <w:sz w:val="24"/>
          <w:szCs w:val="24"/>
        </w:rPr>
        <w:t>.</w:t>
      </w:r>
      <w:r w:rsidR="001161AD">
        <w:rPr>
          <w:rFonts w:cs="Times New Roman"/>
          <w:sz w:val="24"/>
          <w:szCs w:val="24"/>
        </w:rPr>
        <w:t>248</w:t>
      </w:r>
      <w:r w:rsidR="0067703C" w:rsidRPr="00947591">
        <w:rPr>
          <w:rFonts w:cs="Times New Roman"/>
          <w:sz w:val="24"/>
          <w:szCs w:val="24"/>
        </w:rPr>
        <w:t>,00 kn.</w:t>
      </w:r>
      <w:r w:rsidR="00E04B56" w:rsidRPr="00947591">
        <w:rPr>
          <w:rFonts w:cs="Times New Roman"/>
          <w:sz w:val="24"/>
          <w:szCs w:val="24"/>
        </w:rPr>
        <w:t xml:space="preserve"> Vrijednost sitnog inventara iznosi </w:t>
      </w:r>
      <w:r w:rsidR="00F26585" w:rsidRPr="00947591">
        <w:rPr>
          <w:rFonts w:cs="Times New Roman"/>
          <w:sz w:val="24"/>
          <w:szCs w:val="24"/>
        </w:rPr>
        <w:t>20</w:t>
      </w:r>
      <w:r w:rsidR="00E04B56" w:rsidRPr="00947591">
        <w:rPr>
          <w:rFonts w:cs="Times New Roman"/>
          <w:sz w:val="24"/>
          <w:szCs w:val="24"/>
        </w:rPr>
        <w:t>.</w:t>
      </w:r>
      <w:r w:rsidR="00F26585" w:rsidRPr="00947591">
        <w:rPr>
          <w:rFonts w:cs="Times New Roman"/>
          <w:sz w:val="24"/>
          <w:szCs w:val="24"/>
        </w:rPr>
        <w:t>697</w:t>
      </w:r>
      <w:r w:rsidR="00E04B56" w:rsidRPr="00947591">
        <w:rPr>
          <w:rFonts w:cs="Times New Roman"/>
          <w:sz w:val="24"/>
          <w:szCs w:val="24"/>
        </w:rPr>
        <w:t>,00 kn</w:t>
      </w:r>
      <w:r w:rsidR="001161AD">
        <w:rPr>
          <w:rFonts w:cs="Times New Roman"/>
          <w:sz w:val="24"/>
          <w:szCs w:val="24"/>
        </w:rPr>
        <w:t>.</w:t>
      </w:r>
      <w:r w:rsidR="00E04B56" w:rsidRPr="00947591">
        <w:rPr>
          <w:rFonts w:cs="Times New Roman"/>
          <w:sz w:val="24"/>
          <w:szCs w:val="24"/>
        </w:rPr>
        <w:tab/>
      </w:r>
      <w:r w:rsidR="00E62048">
        <w:rPr>
          <w:rFonts w:cs="Times New Roman"/>
          <w:sz w:val="24"/>
          <w:szCs w:val="24"/>
        </w:rPr>
        <w:tab/>
      </w:r>
      <w:r w:rsidR="00F26585" w:rsidRPr="00947591">
        <w:rPr>
          <w:rFonts w:cs="Times New Roman"/>
          <w:sz w:val="24"/>
          <w:szCs w:val="24"/>
        </w:rPr>
        <w:tab/>
      </w:r>
      <w:r w:rsidR="00F26585" w:rsidRPr="00947591">
        <w:rPr>
          <w:rFonts w:cs="Times New Roman"/>
          <w:sz w:val="24"/>
          <w:szCs w:val="24"/>
        </w:rPr>
        <w:tab/>
      </w:r>
    </w:p>
    <w:p w:rsidR="001161AD" w:rsidRDefault="00F1506F" w:rsidP="00E6204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2</w:t>
      </w:r>
      <w:r w:rsidR="00E62048">
        <w:rPr>
          <w:rFonts w:cs="Times New Roman"/>
          <w:sz w:val="24"/>
          <w:szCs w:val="24"/>
          <w:u w:val="single"/>
        </w:rPr>
        <w:t>3</w:t>
      </w:r>
      <w:r w:rsidR="000012E0" w:rsidRPr="00947591">
        <w:rPr>
          <w:rFonts w:cs="Times New Roman"/>
          <w:sz w:val="24"/>
          <w:szCs w:val="24"/>
          <w:u w:val="single"/>
        </w:rPr>
        <w:t>.</w:t>
      </w:r>
      <w:r w:rsidR="00A91D8A" w:rsidRPr="00947591">
        <w:rPr>
          <w:rFonts w:cs="Times New Roman"/>
          <w:sz w:val="24"/>
          <w:szCs w:val="24"/>
        </w:rPr>
        <w:t xml:space="preserve"> – AOP 074 – Financijska imovina iznosi </w:t>
      </w:r>
      <w:r w:rsidRPr="00947591">
        <w:rPr>
          <w:rFonts w:cs="Times New Roman"/>
          <w:sz w:val="24"/>
          <w:szCs w:val="24"/>
        </w:rPr>
        <w:t>1</w:t>
      </w:r>
      <w:r w:rsidR="001161AD">
        <w:rPr>
          <w:rFonts w:cs="Times New Roman"/>
          <w:sz w:val="24"/>
          <w:szCs w:val="24"/>
        </w:rPr>
        <w:t>70</w:t>
      </w:r>
      <w:r w:rsidR="00E04B56" w:rsidRPr="00947591">
        <w:rPr>
          <w:rFonts w:cs="Times New Roman"/>
          <w:sz w:val="24"/>
          <w:szCs w:val="24"/>
        </w:rPr>
        <w:t>.</w:t>
      </w:r>
      <w:r w:rsidR="001161AD">
        <w:rPr>
          <w:rFonts w:cs="Times New Roman"/>
          <w:sz w:val="24"/>
          <w:szCs w:val="24"/>
        </w:rPr>
        <w:t>894</w:t>
      </w:r>
      <w:r w:rsidR="00F26585" w:rsidRPr="00947591">
        <w:rPr>
          <w:rFonts w:cs="Times New Roman"/>
          <w:sz w:val="24"/>
          <w:szCs w:val="24"/>
        </w:rPr>
        <w:t>,00 kn u odnosu na 20</w:t>
      </w:r>
      <w:r w:rsidR="001161AD">
        <w:rPr>
          <w:rFonts w:cs="Times New Roman"/>
          <w:sz w:val="24"/>
          <w:szCs w:val="24"/>
        </w:rPr>
        <w:t>20</w:t>
      </w:r>
      <w:r w:rsidR="00A91D8A" w:rsidRPr="00947591">
        <w:rPr>
          <w:rFonts w:cs="Times New Roman"/>
          <w:sz w:val="24"/>
          <w:szCs w:val="24"/>
        </w:rPr>
        <w:t xml:space="preserve">. godinu </w:t>
      </w:r>
      <w:r w:rsidR="001161AD">
        <w:rPr>
          <w:rFonts w:cs="Times New Roman"/>
          <w:sz w:val="24"/>
          <w:szCs w:val="24"/>
        </w:rPr>
        <w:t xml:space="preserve">kada je iznosila </w:t>
      </w:r>
      <w:r w:rsidRPr="00947591">
        <w:rPr>
          <w:rFonts w:cs="Times New Roman"/>
          <w:sz w:val="24"/>
          <w:szCs w:val="24"/>
        </w:rPr>
        <w:t>1</w:t>
      </w:r>
      <w:r w:rsidR="001161AD">
        <w:rPr>
          <w:rFonts w:cs="Times New Roman"/>
          <w:sz w:val="24"/>
          <w:szCs w:val="24"/>
        </w:rPr>
        <w:t>69</w:t>
      </w:r>
      <w:r w:rsidRPr="00947591">
        <w:rPr>
          <w:rFonts w:cs="Times New Roman"/>
          <w:sz w:val="24"/>
          <w:szCs w:val="24"/>
        </w:rPr>
        <w:t>.5</w:t>
      </w:r>
      <w:r w:rsidR="001161AD">
        <w:rPr>
          <w:rFonts w:cs="Times New Roman"/>
          <w:sz w:val="24"/>
          <w:szCs w:val="24"/>
        </w:rPr>
        <w:t>34</w:t>
      </w:r>
      <w:r w:rsidRPr="00947591">
        <w:rPr>
          <w:rFonts w:cs="Times New Roman"/>
          <w:sz w:val="24"/>
          <w:szCs w:val="24"/>
        </w:rPr>
        <w:t>,00</w:t>
      </w:r>
      <w:r w:rsidR="00A91D8A" w:rsidRPr="00947591">
        <w:rPr>
          <w:rFonts w:cs="Times New Roman"/>
          <w:sz w:val="24"/>
          <w:szCs w:val="24"/>
        </w:rPr>
        <w:t xml:space="preserve"> kn te se sastoji od </w:t>
      </w:r>
      <w:r w:rsidR="001161AD">
        <w:rPr>
          <w:rFonts w:cs="Times New Roman"/>
          <w:sz w:val="24"/>
          <w:szCs w:val="24"/>
        </w:rPr>
        <w:t>Novca u banci u iznosu od 163</w:t>
      </w:r>
      <w:r w:rsidR="00E04B56" w:rsidRPr="00947591">
        <w:rPr>
          <w:rFonts w:cs="Times New Roman"/>
          <w:sz w:val="24"/>
          <w:szCs w:val="24"/>
        </w:rPr>
        <w:t>.</w:t>
      </w:r>
      <w:r w:rsidR="001161AD">
        <w:rPr>
          <w:rFonts w:cs="Times New Roman"/>
          <w:sz w:val="24"/>
          <w:szCs w:val="24"/>
        </w:rPr>
        <w:t>929</w:t>
      </w:r>
      <w:r w:rsidRPr="00947591">
        <w:rPr>
          <w:rFonts w:cs="Times New Roman"/>
          <w:sz w:val="24"/>
          <w:szCs w:val="24"/>
        </w:rPr>
        <w:t>,00 kn</w:t>
      </w:r>
      <w:r w:rsidR="001161AD">
        <w:rPr>
          <w:rFonts w:cs="Times New Roman"/>
          <w:sz w:val="24"/>
          <w:szCs w:val="24"/>
        </w:rPr>
        <w:t xml:space="preserve"> i potraživanja za predujmove u iznosu od 6.965,00 kn</w:t>
      </w:r>
      <w:r w:rsidRPr="00947591">
        <w:rPr>
          <w:rFonts w:cs="Times New Roman"/>
          <w:sz w:val="24"/>
          <w:szCs w:val="24"/>
        </w:rPr>
        <w:t>.</w:t>
      </w:r>
    </w:p>
    <w:p w:rsidR="00E62048" w:rsidRDefault="009F3434" w:rsidP="00E6204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 xml:space="preserve">Bilješka </w:t>
      </w:r>
      <w:r w:rsidR="00991126" w:rsidRPr="00947591">
        <w:rPr>
          <w:rFonts w:cs="Times New Roman"/>
          <w:sz w:val="24"/>
          <w:szCs w:val="24"/>
          <w:u w:val="single"/>
        </w:rPr>
        <w:t xml:space="preserve">redni broj </w:t>
      </w:r>
      <w:r w:rsidR="00F1506F" w:rsidRPr="00947591">
        <w:rPr>
          <w:rFonts w:cs="Times New Roman"/>
          <w:sz w:val="24"/>
          <w:szCs w:val="24"/>
          <w:u w:val="single"/>
        </w:rPr>
        <w:t>2</w:t>
      </w:r>
      <w:r w:rsidR="00E62048">
        <w:rPr>
          <w:rFonts w:cs="Times New Roman"/>
          <w:sz w:val="24"/>
          <w:szCs w:val="24"/>
          <w:u w:val="single"/>
        </w:rPr>
        <w:t>4</w:t>
      </w:r>
      <w:r w:rsidR="000012E0" w:rsidRPr="00947591">
        <w:rPr>
          <w:rFonts w:cs="Times New Roman"/>
          <w:sz w:val="24"/>
          <w:szCs w:val="24"/>
          <w:u w:val="single"/>
        </w:rPr>
        <w:t>.</w:t>
      </w:r>
      <w:r w:rsidR="00A91D8A" w:rsidRPr="00947591">
        <w:rPr>
          <w:rFonts w:cs="Times New Roman"/>
          <w:sz w:val="24"/>
          <w:szCs w:val="24"/>
        </w:rPr>
        <w:t xml:space="preserve"> – AOP 145 – Obveze i vlastiti izvori iznose </w:t>
      </w:r>
      <w:r w:rsidR="00227491">
        <w:rPr>
          <w:rFonts w:cs="Times New Roman"/>
          <w:sz w:val="24"/>
          <w:szCs w:val="24"/>
        </w:rPr>
        <w:t>443</w:t>
      </w:r>
      <w:r w:rsidR="00E04B56" w:rsidRPr="00947591">
        <w:rPr>
          <w:rFonts w:cs="Times New Roman"/>
          <w:sz w:val="24"/>
          <w:szCs w:val="24"/>
        </w:rPr>
        <w:t>.</w:t>
      </w:r>
      <w:r w:rsidR="00227491">
        <w:rPr>
          <w:rFonts w:cs="Times New Roman"/>
          <w:sz w:val="24"/>
          <w:szCs w:val="24"/>
        </w:rPr>
        <w:t>176</w:t>
      </w:r>
      <w:r w:rsidR="00637036" w:rsidRPr="00947591">
        <w:rPr>
          <w:rFonts w:cs="Times New Roman"/>
          <w:sz w:val="24"/>
          <w:szCs w:val="24"/>
        </w:rPr>
        <w:t>,00 kn u odnosu na 20</w:t>
      </w:r>
      <w:r w:rsidR="00227491">
        <w:rPr>
          <w:rFonts w:cs="Times New Roman"/>
          <w:sz w:val="24"/>
          <w:szCs w:val="24"/>
        </w:rPr>
        <w:t>20</w:t>
      </w:r>
      <w:r w:rsidR="00A91D8A" w:rsidRPr="00947591">
        <w:rPr>
          <w:rFonts w:cs="Times New Roman"/>
          <w:sz w:val="24"/>
          <w:szCs w:val="24"/>
        </w:rPr>
        <w:t xml:space="preserve">. godinu kada su iznosili </w:t>
      </w:r>
      <w:r w:rsidR="00227491">
        <w:rPr>
          <w:rFonts w:cs="Times New Roman"/>
          <w:sz w:val="24"/>
          <w:szCs w:val="24"/>
        </w:rPr>
        <w:t>371</w:t>
      </w:r>
      <w:r w:rsidR="00637036" w:rsidRPr="00947591">
        <w:rPr>
          <w:rFonts w:cs="Times New Roman"/>
          <w:sz w:val="24"/>
          <w:szCs w:val="24"/>
        </w:rPr>
        <w:t>.</w:t>
      </w:r>
      <w:r w:rsidR="00227491">
        <w:rPr>
          <w:rFonts w:cs="Times New Roman"/>
          <w:sz w:val="24"/>
          <w:szCs w:val="24"/>
        </w:rPr>
        <w:t>015</w:t>
      </w:r>
      <w:r w:rsidR="00637036" w:rsidRPr="00947591">
        <w:rPr>
          <w:rFonts w:cs="Times New Roman"/>
          <w:sz w:val="24"/>
          <w:szCs w:val="24"/>
        </w:rPr>
        <w:t xml:space="preserve">,00 </w:t>
      </w:r>
      <w:r w:rsidR="00A91D8A" w:rsidRPr="00947591">
        <w:rPr>
          <w:rFonts w:cs="Times New Roman"/>
          <w:sz w:val="24"/>
          <w:szCs w:val="24"/>
        </w:rPr>
        <w:t xml:space="preserve">kn. Sastoje se od obveza pod AOP oznakom </w:t>
      </w:r>
      <w:r w:rsidR="00E04B56" w:rsidRPr="00947591">
        <w:rPr>
          <w:rFonts w:cs="Times New Roman"/>
          <w:sz w:val="24"/>
          <w:szCs w:val="24"/>
        </w:rPr>
        <w:t>146</w:t>
      </w:r>
      <w:r w:rsidR="00A91D8A" w:rsidRPr="00947591">
        <w:rPr>
          <w:rFonts w:cs="Times New Roman"/>
          <w:sz w:val="24"/>
          <w:szCs w:val="24"/>
        </w:rPr>
        <w:t xml:space="preserve"> u iznosu od</w:t>
      </w:r>
      <w:r w:rsidR="00227491">
        <w:rPr>
          <w:rFonts w:cs="Times New Roman"/>
          <w:sz w:val="24"/>
          <w:szCs w:val="24"/>
        </w:rPr>
        <w:t xml:space="preserve"> 92</w:t>
      </w:r>
      <w:r w:rsidR="00E04B56" w:rsidRPr="00947591">
        <w:rPr>
          <w:rFonts w:cs="Times New Roman"/>
          <w:sz w:val="24"/>
          <w:szCs w:val="24"/>
        </w:rPr>
        <w:t>.</w:t>
      </w:r>
      <w:r w:rsidR="00227491">
        <w:rPr>
          <w:rFonts w:cs="Times New Roman"/>
          <w:sz w:val="24"/>
          <w:szCs w:val="24"/>
        </w:rPr>
        <w:t>187</w:t>
      </w:r>
      <w:r w:rsidR="00E04B56" w:rsidRPr="00947591">
        <w:rPr>
          <w:rFonts w:cs="Times New Roman"/>
          <w:sz w:val="24"/>
          <w:szCs w:val="24"/>
        </w:rPr>
        <w:t>,00 kn i vlastitih izvora pod</w:t>
      </w:r>
      <w:r w:rsidR="00227491">
        <w:rPr>
          <w:rFonts w:cs="Times New Roman"/>
          <w:sz w:val="24"/>
          <w:szCs w:val="24"/>
        </w:rPr>
        <w:t xml:space="preserve"> AOP oznakom 195 u iznosu od 350</w:t>
      </w:r>
      <w:r w:rsidR="00E04B56" w:rsidRPr="00947591">
        <w:rPr>
          <w:rFonts w:cs="Times New Roman"/>
          <w:sz w:val="24"/>
          <w:szCs w:val="24"/>
        </w:rPr>
        <w:t>.</w:t>
      </w:r>
      <w:r w:rsidR="00227491">
        <w:rPr>
          <w:rFonts w:cs="Times New Roman"/>
          <w:sz w:val="24"/>
          <w:szCs w:val="24"/>
        </w:rPr>
        <w:t>989</w:t>
      </w:r>
      <w:r w:rsidR="00E04B56" w:rsidRPr="00947591">
        <w:rPr>
          <w:rFonts w:cs="Times New Roman"/>
          <w:sz w:val="24"/>
          <w:szCs w:val="24"/>
        </w:rPr>
        <w:t xml:space="preserve">,00 kn. </w:t>
      </w:r>
      <w:r w:rsidR="00C80F64" w:rsidRPr="00947591">
        <w:rPr>
          <w:rFonts w:cs="Times New Roman"/>
          <w:sz w:val="24"/>
          <w:szCs w:val="24"/>
        </w:rPr>
        <w:tab/>
      </w:r>
      <w:r w:rsidR="00C80F64" w:rsidRPr="00947591">
        <w:rPr>
          <w:rFonts w:cs="Times New Roman"/>
          <w:sz w:val="24"/>
          <w:szCs w:val="24"/>
        </w:rPr>
        <w:tab/>
      </w:r>
      <w:r w:rsidR="00C80F64" w:rsidRPr="00947591">
        <w:rPr>
          <w:rFonts w:cs="Times New Roman"/>
          <w:sz w:val="24"/>
          <w:szCs w:val="24"/>
        </w:rPr>
        <w:tab/>
      </w:r>
      <w:r w:rsidR="00C80F64" w:rsidRPr="00947591">
        <w:rPr>
          <w:rFonts w:cs="Times New Roman"/>
          <w:sz w:val="24"/>
          <w:szCs w:val="24"/>
        </w:rPr>
        <w:tab/>
      </w:r>
      <w:r w:rsidR="00C80F64" w:rsidRPr="00947591">
        <w:rPr>
          <w:rFonts w:cs="Times New Roman"/>
          <w:sz w:val="24"/>
          <w:szCs w:val="24"/>
        </w:rPr>
        <w:tab/>
      </w:r>
    </w:p>
    <w:p w:rsidR="00F26585" w:rsidRPr="00947591" w:rsidRDefault="00F26585" w:rsidP="00E6204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2</w:t>
      </w:r>
      <w:r w:rsidR="00E62048">
        <w:rPr>
          <w:rFonts w:cs="Times New Roman"/>
          <w:sz w:val="24"/>
          <w:szCs w:val="24"/>
          <w:u w:val="single"/>
        </w:rPr>
        <w:t>5</w:t>
      </w:r>
      <w:r w:rsidR="000012E0" w:rsidRPr="00947591">
        <w:rPr>
          <w:rFonts w:cs="Times New Roman"/>
          <w:sz w:val="24"/>
          <w:szCs w:val="24"/>
          <w:u w:val="single"/>
        </w:rPr>
        <w:t>.</w:t>
      </w:r>
      <w:r w:rsidR="00752F46" w:rsidRPr="00947591">
        <w:rPr>
          <w:rFonts w:cs="Times New Roman"/>
          <w:sz w:val="24"/>
          <w:szCs w:val="24"/>
          <w:u w:val="single"/>
        </w:rPr>
        <w:t xml:space="preserve"> </w:t>
      </w:r>
      <w:r w:rsidR="00227491">
        <w:rPr>
          <w:rFonts w:cs="Times New Roman"/>
          <w:sz w:val="24"/>
          <w:szCs w:val="24"/>
        </w:rPr>
        <w:t>– AOP 146 – Obveze u 2021</w:t>
      </w:r>
      <w:r w:rsidR="00637036" w:rsidRPr="00947591">
        <w:rPr>
          <w:rFonts w:cs="Times New Roman"/>
          <w:sz w:val="24"/>
          <w:szCs w:val="24"/>
        </w:rPr>
        <w:t xml:space="preserve">. godini u iznosu od </w:t>
      </w:r>
      <w:r w:rsidR="00227491">
        <w:rPr>
          <w:rFonts w:cs="Times New Roman"/>
          <w:sz w:val="24"/>
          <w:szCs w:val="24"/>
        </w:rPr>
        <w:t>92</w:t>
      </w:r>
      <w:r w:rsidR="00752F46" w:rsidRPr="00947591">
        <w:rPr>
          <w:rFonts w:cs="Times New Roman"/>
          <w:sz w:val="24"/>
          <w:szCs w:val="24"/>
        </w:rPr>
        <w:t>.</w:t>
      </w:r>
      <w:r w:rsidR="00227491">
        <w:rPr>
          <w:rFonts w:cs="Times New Roman"/>
          <w:sz w:val="24"/>
          <w:szCs w:val="24"/>
        </w:rPr>
        <w:t>187</w:t>
      </w:r>
      <w:r w:rsidR="00752F46" w:rsidRPr="00947591">
        <w:rPr>
          <w:rFonts w:cs="Times New Roman"/>
          <w:sz w:val="24"/>
          <w:szCs w:val="24"/>
        </w:rPr>
        <w:t xml:space="preserve">,00 kn se sastoje od </w:t>
      </w:r>
      <w:r w:rsidR="002B526D" w:rsidRPr="00947591">
        <w:rPr>
          <w:rFonts w:cs="Times New Roman"/>
          <w:sz w:val="24"/>
          <w:szCs w:val="24"/>
        </w:rPr>
        <w:t>obveza za radnike u iznosu od 7.</w:t>
      </w:r>
      <w:r w:rsidR="00227491">
        <w:rPr>
          <w:rFonts w:cs="Times New Roman"/>
          <w:sz w:val="24"/>
          <w:szCs w:val="24"/>
        </w:rPr>
        <w:t>677</w:t>
      </w:r>
      <w:r w:rsidR="002B526D" w:rsidRPr="00947591">
        <w:rPr>
          <w:rFonts w:cs="Times New Roman"/>
          <w:sz w:val="24"/>
          <w:szCs w:val="24"/>
        </w:rPr>
        <w:t>,00 kn na AOP oznaci 148, obveza za mate</w:t>
      </w:r>
      <w:r w:rsidR="00637036" w:rsidRPr="00947591">
        <w:rPr>
          <w:rFonts w:cs="Times New Roman"/>
          <w:sz w:val="24"/>
          <w:szCs w:val="24"/>
        </w:rPr>
        <w:t xml:space="preserve">rijalne rashode u iznosu od </w:t>
      </w:r>
      <w:r w:rsidR="00227491">
        <w:rPr>
          <w:rFonts w:cs="Times New Roman"/>
          <w:sz w:val="24"/>
          <w:szCs w:val="24"/>
        </w:rPr>
        <w:t>84.510</w:t>
      </w:r>
      <w:r w:rsidR="002B526D" w:rsidRPr="00947591">
        <w:rPr>
          <w:rFonts w:cs="Times New Roman"/>
          <w:sz w:val="24"/>
          <w:szCs w:val="24"/>
        </w:rPr>
        <w:t>,00 kn na AOP oznaci 156</w:t>
      </w:r>
      <w:r w:rsidR="00637036" w:rsidRPr="00947591">
        <w:rPr>
          <w:rFonts w:cs="Times New Roman"/>
          <w:sz w:val="24"/>
          <w:szCs w:val="24"/>
        </w:rPr>
        <w:t xml:space="preserve">. </w:t>
      </w:r>
      <w:r w:rsidR="00D13BCC" w:rsidRPr="00947591">
        <w:rPr>
          <w:rFonts w:cs="Times New Roman"/>
          <w:sz w:val="24"/>
          <w:szCs w:val="24"/>
        </w:rPr>
        <w:t>Obveze za radnike odnose se na obveze za neto plać</w:t>
      </w:r>
      <w:r w:rsidRPr="00947591">
        <w:rPr>
          <w:rFonts w:cs="Times New Roman"/>
          <w:sz w:val="24"/>
          <w:szCs w:val="24"/>
        </w:rPr>
        <w:t>e u iznosu od 5.</w:t>
      </w:r>
      <w:r w:rsidR="00227491">
        <w:rPr>
          <w:rFonts w:cs="Times New Roman"/>
          <w:sz w:val="24"/>
          <w:szCs w:val="24"/>
        </w:rPr>
        <w:t>705</w:t>
      </w:r>
      <w:r w:rsidR="00D13BCC" w:rsidRPr="00947591">
        <w:rPr>
          <w:rFonts w:cs="Times New Roman"/>
          <w:sz w:val="24"/>
          <w:szCs w:val="24"/>
        </w:rPr>
        <w:t xml:space="preserve">,00 kn, obveze za porez i prirez na </w:t>
      </w:r>
      <w:r w:rsidR="00227491">
        <w:rPr>
          <w:rFonts w:cs="Times New Roman"/>
          <w:sz w:val="24"/>
          <w:szCs w:val="24"/>
        </w:rPr>
        <w:t>dohodak iz plaća u iznosu od 437</w:t>
      </w:r>
      <w:r w:rsidR="00D13BCC" w:rsidRPr="00947591">
        <w:rPr>
          <w:rFonts w:cs="Times New Roman"/>
          <w:sz w:val="24"/>
          <w:szCs w:val="24"/>
        </w:rPr>
        <w:t>,00 kn i obveza za doprinose iz plaća u iznosu od 1.53</w:t>
      </w:r>
      <w:r w:rsidR="00227491">
        <w:rPr>
          <w:rFonts w:cs="Times New Roman"/>
          <w:sz w:val="24"/>
          <w:szCs w:val="24"/>
        </w:rPr>
        <w:t>5</w:t>
      </w:r>
      <w:r w:rsidR="00D13BCC" w:rsidRPr="00947591">
        <w:rPr>
          <w:rFonts w:cs="Times New Roman"/>
          <w:sz w:val="24"/>
          <w:szCs w:val="24"/>
        </w:rPr>
        <w:t xml:space="preserve">,00 kn. Obveze za materijalne rashode odnose se na </w:t>
      </w:r>
      <w:r w:rsidR="00227491">
        <w:rPr>
          <w:rFonts w:cs="Times New Roman"/>
          <w:sz w:val="24"/>
          <w:szCs w:val="24"/>
        </w:rPr>
        <w:t>552</w:t>
      </w:r>
      <w:r w:rsidR="00D13BCC" w:rsidRPr="00947591">
        <w:rPr>
          <w:rFonts w:cs="Times New Roman"/>
          <w:sz w:val="24"/>
          <w:szCs w:val="24"/>
        </w:rPr>
        <w:t>,00 kn za naknade troškova radnicima</w:t>
      </w:r>
      <w:r w:rsidR="00227491">
        <w:rPr>
          <w:rFonts w:cs="Times New Roman"/>
          <w:sz w:val="24"/>
          <w:szCs w:val="24"/>
        </w:rPr>
        <w:t xml:space="preserve"> i 83.958,00 kn za obveze prema dobavljačima u zemlji</w:t>
      </w:r>
      <w:r w:rsidRPr="00947591">
        <w:rPr>
          <w:rFonts w:cs="Times New Roman"/>
          <w:sz w:val="24"/>
          <w:szCs w:val="24"/>
        </w:rPr>
        <w:t>.</w:t>
      </w:r>
      <w:r w:rsidR="00D13BCC" w:rsidRPr="00947591">
        <w:rPr>
          <w:rFonts w:cs="Times New Roman"/>
          <w:sz w:val="24"/>
          <w:szCs w:val="24"/>
        </w:rPr>
        <w:tab/>
      </w:r>
      <w:r w:rsidR="00D13BCC" w:rsidRPr="00947591">
        <w:rPr>
          <w:rFonts w:cs="Times New Roman"/>
          <w:sz w:val="24"/>
          <w:szCs w:val="24"/>
        </w:rPr>
        <w:tab/>
      </w:r>
      <w:r w:rsidR="00D13BCC" w:rsidRPr="00947591">
        <w:rPr>
          <w:rFonts w:cs="Times New Roman"/>
          <w:sz w:val="24"/>
          <w:szCs w:val="24"/>
        </w:rPr>
        <w:tab/>
      </w:r>
    </w:p>
    <w:p w:rsidR="00294AD3" w:rsidRPr="00947591" w:rsidRDefault="00C80F64" w:rsidP="00E6204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47591">
        <w:rPr>
          <w:rFonts w:cs="Times New Roman"/>
          <w:sz w:val="24"/>
          <w:szCs w:val="24"/>
          <w:u w:val="single"/>
        </w:rPr>
        <w:t>Bilješka redni broj 2</w:t>
      </w:r>
      <w:r w:rsidR="00E62048">
        <w:rPr>
          <w:rFonts w:cs="Times New Roman"/>
          <w:sz w:val="24"/>
          <w:szCs w:val="24"/>
          <w:u w:val="single"/>
        </w:rPr>
        <w:t>6</w:t>
      </w:r>
      <w:r w:rsidR="000012E0" w:rsidRPr="00947591">
        <w:rPr>
          <w:rFonts w:cs="Times New Roman"/>
          <w:sz w:val="24"/>
          <w:szCs w:val="24"/>
          <w:u w:val="single"/>
        </w:rPr>
        <w:t>.</w:t>
      </w:r>
      <w:r w:rsidR="002B526D" w:rsidRPr="00947591">
        <w:rPr>
          <w:rFonts w:cs="Times New Roman"/>
          <w:sz w:val="24"/>
          <w:szCs w:val="24"/>
          <w:u w:val="single"/>
        </w:rPr>
        <w:t xml:space="preserve"> </w:t>
      </w:r>
      <w:r w:rsidR="002B526D" w:rsidRPr="00947591">
        <w:rPr>
          <w:rFonts w:cs="Times New Roman"/>
          <w:sz w:val="24"/>
          <w:szCs w:val="24"/>
        </w:rPr>
        <w:t xml:space="preserve">– AOP 195 – Vlastiti izvori iznose </w:t>
      </w:r>
      <w:r w:rsidR="00F26585" w:rsidRPr="00947591">
        <w:rPr>
          <w:rFonts w:cs="Times New Roman"/>
          <w:sz w:val="24"/>
          <w:szCs w:val="24"/>
        </w:rPr>
        <w:t>3</w:t>
      </w:r>
      <w:r w:rsidR="00227491">
        <w:rPr>
          <w:rFonts w:cs="Times New Roman"/>
          <w:sz w:val="24"/>
          <w:szCs w:val="24"/>
        </w:rPr>
        <w:t>50</w:t>
      </w:r>
      <w:r w:rsidR="00C23064" w:rsidRPr="00947591">
        <w:rPr>
          <w:rFonts w:cs="Times New Roman"/>
          <w:sz w:val="24"/>
          <w:szCs w:val="24"/>
        </w:rPr>
        <w:t>.</w:t>
      </w:r>
      <w:r w:rsidR="00637036" w:rsidRPr="00947591">
        <w:rPr>
          <w:rFonts w:cs="Times New Roman"/>
          <w:sz w:val="24"/>
          <w:szCs w:val="24"/>
        </w:rPr>
        <w:t>9</w:t>
      </w:r>
      <w:r w:rsidR="00227491">
        <w:rPr>
          <w:rFonts w:cs="Times New Roman"/>
          <w:sz w:val="24"/>
          <w:szCs w:val="24"/>
        </w:rPr>
        <w:t>89</w:t>
      </w:r>
      <w:bookmarkStart w:id="0" w:name="_GoBack"/>
      <w:bookmarkEnd w:id="0"/>
      <w:r w:rsidR="00C23064" w:rsidRPr="00947591">
        <w:rPr>
          <w:rFonts w:cs="Times New Roman"/>
          <w:sz w:val="24"/>
          <w:szCs w:val="24"/>
        </w:rPr>
        <w:t>,00 kn te se odnose na višak prihoda iskazan AOP oznakom 199.</w:t>
      </w:r>
    </w:p>
    <w:p w:rsidR="00637036" w:rsidRPr="00947591" w:rsidRDefault="00637036" w:rsidP="008532A0">
      <w:pPr>
        <w:jc w:val="both"/>
        <w:rPr>
          <w:rFonts w:cs="Times New Roman"/>
          <w:sz w:val="24"/>
          <w:szCs w:val="24"/>
        </w:rPr>
      </w:pPr>
    </w:p>
    <w:p w:rsidR="001752E6" w:rsidRPr="00947591" w:rsidRDefault="00362029" w:rsidP="00637036">
      <w:pPr>
        <w:spacing w:after="0"/>
        <w:jc w:val="right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>ZAJEDNICA SPORTSKIH UDRUGA GRADA PAZINA</w:t>
      </w:r>
    </w:p>
    <w:p w:rsidR="001752E6" w:rsidRPr="00947591" w:rsidRDefault="00F149E4">
      <w:pPr>
        <w:jc w:val="right"/>
        <w:rPr>
          <w:rFonts w:cs="Times New Roman"/>
          <w:b/>
          <w:sz w:val="24"/>
          <w:szCs w:val="24"/>
        </w:rPr>
      </w:pPr>
      <w:r w:rsidRPr="00947591">
        <w:rPr>
          <w:rFonts w:cs="Times New Roman"/>
          <w:b/>
          <w:sz w:val="24"/>
          <w:szCs w:val="24"/>
        </w:rPr>
        <w:t xml:space="preserve">Zakonski predstavnik </w:t>
      </w:r>
      <w:r w:rsidR="00362029" w:rsidRPr="00947591">
        <w:rPr>
          <w:rFonts w:cs="Times New Roman"/>
          <w:b/>
          <w:sz w:val="24"/>
          <w:szCs w:val="24"/>
        </w:rPr>
        <w:t>Zoran Bravar</w:t>
      </w:r>
      <w:r w:rsidR="00D05655" w:rsidRPr="00947591">
        <w:rPr>
          <w:rFonts w:cs="Times New Roman"/>
          <w:b/>
          <w:sz w:val="24"/>
          <w:szCs w:val="24"/>
        </w:rPr>
        <w:t>, P</w:t>
      </w:r>
      <w:r w:rsidRPr="00947591">
        <w:rPr>
          <w:rFonts w:cs="Times New Roman"/>
          <w:b/>
          <w:sz w:val="24"/>
          <w:szCs w:val="24"/>
        </w:rPr>
        <w:t>redsjednik</w:t>
      </w:r>
    </w:p>
    <w:p w:rsidR="001752E6" w:rsidRPr="00D41ED7" w:rsidRDefault="001752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752E6" w:rsidRPr="00D41ED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44" w:rsidRDefault="00DC0844">
      <w:pPr>
        <w:spacing w:after="0" w:line="240" w:lineRule="auto"/>
      </w:pPr>
      <w:r>
        <w:separator/>
      </w:r>
    </w:p>
  </w:endnote>
  <w:endnote w:type="continuationSeparator" w:id="0">
    <w:p w:rsidR="00DC0844" w:rsidRDefault="00DC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344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2687A" w:rsidRDefault="0082687A">
            <w:pPr>
              <w:pStyle w:val="Podnoje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4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4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2E6" w:rsidRDefault="001752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44" w:rsidRDefault="00DC0844">
      <w:pPr>
        <w:spacing w:after="0" w:line="240" w:lineRule="auto"/>
      </w:pPr>
      <w:r>
        <w:separator/>
      </w:r>
    </w:p>
  </w:footnote>
  <w:footnote w:type="continuationSeparator" w:id="0">
    <w:p w:rsidR="00DC0844" w:rsidRDefault="00DC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E8" w:rsidRDefault="006B4BE8">
    <w:pPr>
      <w:pStyle w:val="Zaglavlje"/>
    </w:pPr>
    <w:r>
      <w:t>Bilješke u</w:t>
    </w:r>
    <w:r w:rsidR="00654C32">
      <w:t>z financijske izvještaje za 202</w:t>
    </w:r>
    <w:r w:rsidR="00F761AE">
      <w:t>1</w:t>
    </w:r>
    <w:r>
      <w:t>. godinu</w:t>
    </w:r>
  </w:p>
  <w:p w:rsidR="006B4BE8" w:rsidRDefault="006B4B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63"/>
    <w:rsid w:val="000012D2"/>
    <w:rsid w:val="000012E0"/>
    <w:rsid w:val="00007D15"/>
    <w:rsid w:val="00012406"/>
    <w:rsid w:val="00012FAF"/>
    <w:rsid w:val="00013344"/>
    <w:rsid w:val="000136C2"/>
    <w:rsid w:val="00020001"/>
    <w:rsid w:val="00022C36"/>
    <w:rsid w:val="00024197"/>
    <w:rsid w:val="00034544"/>
    <w:rsid w:val="0003678B"/>
    <w:rsid w:val="000539C0"/>
    <w:rsid w:val="00055FCA"/>
    <w:rsid w:val="0007780C"/>
    <w:rsid w:val="000A15C9"/>
    <w:rsid w:val="000B1B05"/>
    <w:rsid w:val="000B3BF9"/>
    <w:rsid w:val="000C137F"/>
    <w:rsid w:val="000C2210"/>
    <w:rsid w:val="000D26C7"/>
    <w:rsid w:val="000F0A97"/>
    <w:rsid w:val="000F2084"/>
    <w:rsid w:val="000F2139"/>
    <w:rsid w:val="00110364"/>
    <w:rsid w:val="001161AD"/>
    <w:rsid w:val="00124B07"/>
    <w:rsid w:val="00133075"/>
    <w:rsid w:val="00134191"/>
    <w:rsid w:val="001347EE"/>
    <w:rsid w:val="00137167"/>
    <w:rsid w:val="001410AB"/>
    <w:rsid w:val="00143297"/>
    <w:rsid w:val="00147C89"/>
    <w:rsid w:val="00151FDE"/>
    <w:rsid w:val="001547F6"/>
    <w:rsid w:val="001657F3"/>
    <w:rsid w:val="00170C5F"/>
    <w:rsid w:val="001752E6"/>
    <w:rsid w:val="00177036"/>
    <w:rsid w:val="001851F4"/>
    <w:rsid w:val="00186D43"/>
    <w:rsid w:val="001914F9"/>
    <w:rsid w:val="0019160F"/>
    <w:rsid w:val="001926C8"/>
    <w:rsid w:val="001A0CB9"/>
    <w:rsid w:val="001B5B0F"/>
    <w:rsid w:val="001C63F2"/>
    <w:rsid w:val="001C7EF3"/>
    <w:rsid w:val="001D0DAD"/>
    <w:rsid w:val="001D2B95"/>
    <w:rsid w:val="001D4892"/>
    <w:rsid w:val="001E19B9"/>
    <w:rsid w:val="001E36FD"/>
    <w:rsid w:val="001F3718"/>
    <w:rsid w:val="001F3CC4"/>
    <w:rsid w:val="001F4281"/>
    <w:rsid w:val="0020332F"/>
    <w:rsid w:val="0020407F"/>
    <w:rsid w:val="00207F34"/>
    <w:rsid w:val="0021284A"/>
    <w:rsid w:val="00214A18"/>
    <w:rsid w:val="00216E81"/>
    <w:rsid w:val="002252AA"/>
    <w:rsid w:val="00227491"/>
    <w:rsid w:val="002332DB"/>
    <w:rsid w:val="002337C1"/>
    <w:rsid w:val="00233DBA"/>
    <w:rsid w:val="00245FE2"/>
    <w:rsid w:val="00250309"/>
    <w:rsid w:val="00262141"/>
    <w:rsid w:val="002763A8"/>
    <w:rsid w:val="00282A45"/>
    <w:rsid w:val="00287944"/>
    <w:rsid w:val="00291F1A"/>
    <w:rsid w:val="00294AD3"/>
    <w:rsid w:val="002A3D87"/>
    <w:rsid w:val="002B1241"/>
    <w:rsid w:val="002B526D"/>
    <w:rsid w:val="002C7537"/>
    <w:rsid w:val="002C7861"/>
    <w:rsid w:val="002D1A55"/>
    <w:rsid w:val="002D3EC6"/>
    <w:rsid w:val="002D4995"/>
    <w:rsid w:val="002E1811"/>
    <w:rsid w:val="002F531F"/>
    <w:rsid w:val="002F6188"/>
    <w:rsid w:val="00301070"/>
    <w:rsid w:val="003013E8"/>
    <w:rsid w:val="00310E2D"/>
    <w:rsid w:val="0032347A"/>
    <w:rsid w:val="003239FB"/>
    <w:rsid w:val="00325DB9"/>
    <w:rsid w:val="00330355"/>
    <w:rsid w:val="003338DB"/>
    <w:rsid w:val="00345BD3"/>
    <w:rsid w:val="00352C20"/>
    <w:rsid w:val="00354632"/>
    <w:rsid w:val="00354FF7"/>
    <w:rsid w:val="00362029"/>
    <w:rsid w:val="003677BE"/>
    <w:rsid w:val="00370F35"/>
    <w:rsid w:val="003719A2"/>
    <w:rsid w:val="003745FB"/>
    <w:rsid w:val="003774F9"/>
    <w:rsid w:val="00382DD8"/>
    <w:rsid w:val="00395A11"/>
    <w:rsid w:val="003974D0"/>
    <w:rsid w:val="003C18EC"/>
    <w:rsid w:val="003C59E6"/>
    <w:rsid w:val="003D40E1"/>
    <w:rsid w:val="003D64CC"/>
    <w:rsid w:val="003E3787"/>
    <w:rsid w:val="003E432E"/>
    <w:rsid w:val="003E7BC9"/>
    <w:rsid w:val="003F0232"/>
    <w:rsid w:val="003F1F40"/>
    <w:rsid w:val="003F2B1C"/>
    <w:rsid w:val="00416099"/>
    <w:rsid w:val="00422845"/>
    <w:rsid w:val="00427BD0"/>
    <w:rsid w:val="00433991"/>
    <w:rsid w:val="00436433"/>
    <w:rsid w:val="004407F0"/>
    <w:rsid w:val="004409C4"/>
    <w:rsid w:val="00440C2C"/>
    <w:rsid w:val="00466CA4"/>
    <w:rsid w:val="00473760"/>
    <w:rsid w:val="00480C56"/>
    <w:rsid w:val="00484112"/>
    <w:rsid w:val="0049364B"/>
    <w:rsid w:val="00493775"/>
    <w:rsid w:val="004A6E5E"/>
    <w:rsid w:val="004C5240"/>
    <w:rsid w:val="004D6A14"/>
    <w:rsid w:val="004F2CE7"/>
    <w:rsid w:val="004F37FE"/>
    <w:rsid w:val="004F63E7"/>
    <w:rsid w:val="00501D81"/>
    <w:rsid w:val="005055F8"/>
    <w:rsid w:val="00516785"/>
    <w:rsid w:val="00522D2F"/>
    <w:rsid w:val="00524579"/>
    <w:rsid w:val="00526D43"/>
    <w:rsid w:val="00540D96"/>
    <w:rsid w:val="00544F38"/>
    <w:rsid w:val="00552184"/>
    <w:rsid w:val="00553757"/>
    <w:rsid w:val="005551A2"/>
    <w:rsid w:val="005612A8"/>
    <w:rsid w:val="00562B5B"/>
    <w:rsid w:val="00566E0B"/>
    <w:rsid w:val="005A7D97"/>
    <w:rsid w:val="005B087C"/>
    <w:rsid w:val="005C7246"/>
    <w:rsid w:val="005E0C15"/>
    <w:rsid w:val="005E18FA"/>
    <w:rsid w:val="005E36E7"/>
    <w:rsid w:val="005E638C"/>
    <w:rsid w:val="005E6638"/>
    <w:rsid w:val="005E6A55"/>
    <w:rsid w:val="005F7CE0"/>
    <w:rsid w:val="006016E7"/>
    <w:rsid w:val="0061010E"/>
    <w:rsid w:val="006108C1"/>
    <w:rsid w:val="00620D47"/>
    <w:rsid w:val="00620E49"/>
    <w:rsid w:val="0062510F"/>
    <w:rsid w:val="00627A6C"/>
    <w:rsid w:val="00637036"/>
    <w:rsid w:val="00654C32"/>
    <w:rsid w:val="00656D04"/>
    <w:rsid w:val="006675C8"/>
    <w:rsid w:val="006701BE"/>
    <w:rsid w:val="0067575E"/>
    <w:rsid w:val="0067703C"/>
    <w:rsid w:val="00684ABA"/>
    <w:rsid w:val="00690939"/>
    <w:rsid w:val="006B0CFF"/>
    <w:rsid w:val="006B4BE8"/>
    <w:rsid w:val="006C36C2"/>
    <w:rsid w:val="006C6BD4"/>
    <w:rsid w:val="006C7E6A"/>
    <w:rsid w:val="006D4330"/>
    <w:rsid w:val="006D5A5B"/>
    <w:rsid w:val="006E0072"/>
    <w:rsid w:val="006E2FB0"/>
    <w:rsid w:val="006F35AE"/>
    <w:rsid w:val="006F6F2D"/>
    <w:rsid w:val="00703514"/>
    <w:rsid w:val="00707D2F"/>
    <w:rsid w:val="00713539"/>
    <w:rsid w:val="00720F19"/>
    <w:rsid w:val="0072421A"/>
    <w:rsid w:val="007340BC"/>
    <w:rsid w:val="007376CF"/>
    <w:rsid w:val="00746D75"/>
    <w:rsid w:val="00750461"/>
    <w:rsid w:val="0075201A"/>
    <w:rsid w:val="00752F46"/>
    <w:rsid w:val="00760395"/>
    <w:rsid w:val="00767A68"/>
    <w:rsid w:val="007707DB"/>
    <w:rsid w:val="00780EB5"/>
    <w:rsid w:val="00782B60"/>
    <w:rsid w:val="00782DFD"/>
    <w:rsid w:val="0079022E"/>
    <w:rsid w:val="00791314"/>
    <w:rsid w:val="007A12E3"/>
    <w:rsid w:val="007A4CCA"/>
    <w:rsid w:val="007B46BE"/>
    <w:rsid w:val="007C23BD"/>
    <w:rsid w:val="007C6B8F"/>
    <w:rsid w:val="007C7CE4"/>
    <w:rsid w:val="007D0F2E"/>
    <w:rsid w:val="007E3BE6"/>
    <w:rsid w:val="00801683"/>
    <w:rsid w:val="008077C5"/>
    <w:rsid w:val="0081027D"/>
    <w:rsid w:val="00823F0E"/>
    <w:rsid w:val="008244E5"/>
    <w:rsid w:val="0082687A"/>
    <w:rsid w:val="00826C06"/>
    <w:rsid w:val="00826C48"/>
    <w:rsid w:val="00850C2C"/>
    <w:rsid w:val="008522BF"/>
    <w:rsid w:val="008532A0"/>
    <w:rsid w:val="008602D0"/>
    <w:rsid w:val="008604A5"/>
    <w:rsid w:val="00863170"/>
    <w:rsid w:val="00864B4E"/>
    <w:rsid w:val="0087631F"/>
    <w:rsid w:val="0087672C"/>
    <w:rsid w:val="00877DC5"/>
    <w:rsid w:val="0088529C"/>
    <w:rsid w:val="00885F3C"/>
    <w:rsid w:val="008919A0"/>
    <w:rsid w:val="00894BA9"/>
    <w:rsid w:val="008A086C"/>
    <w:rsid w:val="008A1F07"/>
    <w:rsid w:val="008A6211"/>
    <w:rsid w:val="008B284C"/>
    <w:rsid w:val="008C06ED"/>
    <w:rsid w:val="008D2280"/>
    <w:rsid w:val="008D3834"/>
    <w:rsid w:val="008E0432"/>
    <w:rsid w:val="009056EA"/>
    <w:rsid w:val="00905858"/>
    <w:rsid w:val="009101A3"/>
    <w:rsid w:val="00915180"/>
    <w:rsid w:val="00923B80"/>
    <w:rsid w:val="009302D1"/>
    <w:rsid w:val="00945DD5"/>
    <w:rsid w:val="00947591"/>
    <w:rsid w:val="00951203"/>
    <w:rsid w:val="00957F9F"/>
    <w:rsid w:val="0096599D"/>
    <w:rsid w:val="009716E1"/>
    <w:rsid w:val="00980DD6"/>
    <w:rsid w:val="009821C4"/>
    <w:rsid w:val="00982DE3"/>
    <w:rsid w:val="00985BDD"/>
    <w:rsid w:val="009867A7"/>
    <w:rsid w:val="00986FA4"/>
    <w:rsid w:val="009900DB"/>
    <w:rsid w:val="00991126"/>
    <w:rsid w:val="00995077"/>
    <w:rsid w:val="009A0B54"/>
    <w:rsid w:val="009B2C7F"/>
    <w:rsid w:val="009B3E77"/>
    <w:rsid w:val="009B3ECC"/>
    <w:rsid w:val="009B4549"/>
    <w:rsid w:val="009B4EAB"/>
    <w:rsid w:val="009E003F"/>
    <w:rsid w:val="009E4EA3"/>
    <w:rsid w:val="009E6982"/>
    <w:rsid w:val="009F1079"/>
    <w:rsid w:val="009F1CFE"/>
    <w:rsid w:val="009F3434"/>
    <w:rsid w:val="009F40F6"/>
    <w:rsid w:val="00A05429"/>
    <w:rsid w:val="00A06470"/>
    <w:rsid w:val="00A1455E"/>
    <w:rsid w:val="00A17123"/>
    <w:rsid w:val="00A1783B"/>
    <w:rsid w:val="00A2449E"/>
    <w:rsid w:val="00A26E79"/>
    <w:rsid w:val="00A324F4"/>
    <w:rsid w:val="00A41DC9"/>
    <w:rsid w:val="00A474AE"/>
    <w:rsid w:val="00A552AA"/>
    <w:rsid w:val="00A56CD8"/>
    <w:rsid w:val="00A60095"/>
    <w:rsid w:val="00A618D8"/>
    <w:rsid w:val="00A6500D"/>
    <w:rsid w:val="00A75E51"/>
    <w:rsid w:val="00A85BBB"/>
    <w:rsid w:val="00A91D8A"/>
    <w:rsid w:val="00AA0674"/>
    <w:rsid w:val="00AA3974"/>
    <w:rsid w:val="00AA3A23"/>
    <w:rsid w:val="00AC4CE6"/>
    <w:rsid w:val="00AC7624"/>
    <w:rsid w:val="00AC7FD6"/>
    <w:rsid w:val="00AD6049"/>
    <w:rsid w:val="00AD7330"/>
    <w:rsid w:val="00AE1EF3"/>
    <w:rsid w:val="00AE6360"/>
    <w:rsid w:val="00AF228E"/>
    <w:rsid w:val="00AF7C55"/>
    <w:rsid w:val="00B01690"/>
    <w:rsid w:val="00B131B6"/>
    <w:rsid w:val="00B142AF"/>
    <w:rsid w:val="00B15E16"/>
    <w:rsid w:val="00B17069"/>
    <w:rsid w:val="00B22A44"/>
    <w:rsid w:val="00B27C8D"/>
    <w:rsid w:val="00B310D1"/>
    <w:rsid w:val="00B31DA0"/>
    <w:rsid w:val="00B32A97"/>
    <w:rsid w:val="00B36E0D"/>
    <w:rsid w:val="00B439B1"/>
    <w:rsid w:val="00B458E7"/>
    <w:rsid w:val="00B464C5"/>
    <w:rsid w:val="00B5087A"/>
    <w:rsid w:val="00B5107A"/>
    <w:rsid w:val="00B62D06"/>
    <w:rsid w:val="00B634A2"/>
    <w:rsid w:val="00B63B14"/>
    <w:rsid w:val="00B734B4"/>
    <w:rsid w:val="00B749B8"/>
    <w:rsid w:val="00B9487B"/>
    <w:rsid w:val="00B954EB"/>
    <w:rsid w:val="00B972DB"/>
    <w:rsid w:val="00BA25E7"/>
    <w:rsid w:val="00BB4152"/>
    <w:rsid w:val="00BB7E73"/>
    <w:rsid w:val="00BC0331"/>
    <w:rsid w:val="00BC1453"/>
    <w:rsid w:val="00BC1C33"/>
    <w:rsid w:val="00BD2B5C"/>
    <w:rsid w:val="00BD4391"/>
    <w:rsid w:val="00BD568C"/>
    <w:rsid w:val="00BD6D8D"/>
    <w:rsid w:val="00BE1748"/>
    <w:rsid w:val="00BE4AB1"/>
    <w:rsid w:val="00BF085E"/>
    <w:rsid w:val="00BF490F"/>
    <w:rsid w:val="00BF5217"/>
    <w:rsid w:val="00C05ECC"/>
    <w:rsid w:val="00C10F9F"/>
    <w:rsid w:val="00C15EE0"/>
    <w:rsid w:val="00C23064"/>
    <w:rsid w:val="00C23179"/>
    <w:rsid w:val="00C41252"/>
    <w:rsid w:val="00C55CD8"/>
    <w:rsid w:val="00C6243B"/>
    <w:rsid w:val="00C65C0D"/>
    <w:rsid w:val="00C70153"/>
    <w:rsid w:val="00C7489F"/>
    <w:rsid w:val="00C8071A"/>
    <w:rsid w:val="00C80F64"/>
    <w:rsid w:val="00C83520"/>
    <w:rsid w:val="00C8514F"/>
    <w:rsid w:val="00C87CFD"/>
    <w:rsid w:val="00C90DCC"/>
    <w:rsid w:val="00CA0BC8"/>
    <w:rsid w:val="00CB198A"/>
    <w:rsid w:val="00CB2D6C"/>
    <w:rsid w:val="00CB7356"/>
    <w:rsid w:val="00CB7563"/>
    <w:rsid w:val="00CB7D49"/>
    <w:rsid w:val="00CC2CEE"/>
    <w:rsid w:val="00CC5B61"/>
    <w:rsid w:val="00CD525D"/>
    <w:rsid w:val="00CD729C"/>
    <w:rsid w:val="00CD7E36"/>
    <w:rsid w:val="00CE230E"/>
    <w:rsid w:val="00CF0A3F"/>
    <w:rsid w:val="00CF0BDD"/>
    <w:rsid w:val="00D01BCB"/>
    <w:rsid w:val="00D05655"/>
    <w:rsid w:val="00D07608"/>
    <w:rsid w:val="00D07C84"/>
    <w:rsid w:val="00D13BCC"/>
    <w:rsid w:val="00D20946"/>
    <w:rsid w:val="00D41ED7"/>
    <w:rsid w:val="00D42AC2"/>
    <w:rsid w:val="00D4466D"/>
    <w:rsid w:val="00D54F93"/>
    <w:rsid w:val="00D6240A"/>
    <w:rsid w:val="00D6417B"/>
    <w:rsid w:val="00D67D6D"/>
    <w:rsid w:val="00D71C7E"/>
    <w:rsid w:val="00D71CD1"/>
    <w:rsid w:val="00D776C1"/>
    <w:rsid w:val="00D8302E"/>
    <w:rsid w:val="00D94F10"/>
    <w:rsid w:val="00DA173F"/>
    <w:rsid w:val="00DA23EC"/>
    <w:rsid w:val="00DA4D4C"/>
    <w:rsid w:val="00DB459B"/>
    <w:rsid w:val="00DC0844"/>
    <w:rsid w:val="00DD2408"/>
    <w:rsid w:val="00DE1831"/>
    <w:rsid w:val="00DE3AC0"/>
    <w:rsid w:val="00DE431F"/>
    <w:rsid w:val="00DE62E1"/>
    <w:rsid w:val="00DE6D87"/>
    <w:rsid w:val="00E04B56"/>
    <w:rsid w:val="00E06A79"/>
    <w:rsid w:val="00E07251"/>
    <w:rsid w:val="00E16FBF"/>
    <w:rsid w:val="00E2773B"/>
    <w:rsid w:val="00E60CB2"/>
    <w:rsid w:val="00E62048"/>
    <w:rsid w:val="00E6700D"/>
    <w:rsid w:val="00E7270A"/>
    <w:rsid w:val="00E77F56"/>
    <w:rsid w:val="00E846E0"/>
    <w:rsid w:val="00E93BCD"/>
    <w:rsid w:val="00E96021"/>
    <w:rsid w:val="00E96F06"/>
    <w:rsid w:val="00EA26C0"/>
    <w:rsid w:val="00EC3CB6"/>
    <w:rsid w:val="00ED4AB6"/>
    <w:rsid w:val="00ED5CC9"/>
    <w:rsid w:val="00EE4718"/>
    <w:rsid w:val="00EF7E7B"/>
    <w:rsid w:val="00F03639"/>
    <w:rsid w:val="00F036F9"/>
    <w:rsid w:val="00F03CA1"/>
    <w:rsid w:val="00F03E0B"/>
    <w:rsid w:val="00F063EA"/>
    <w:rsid w:val="00F149E4"/>
    <w:rsid w:val="00F1506F"/>
    <w:rsid w:val="00F214B6"/>
    <w:rsid w:val="00F228B1"/>
    <w:rsid w:val="00F26585"/>
    <w:rsid w:val="00F335F7"/>
    <w:rsid w:val="00F353CA"/>
    <w:rsid w:val="00F41CA0"/>
    <w:rsid w:val="00F454C7"/>
    <w:rsid w:val="00F45BD3"/>
    <w:rsid w:val="00F54374"/>
    <w:rsid w:val="00F569BF"/>
    <w:rsid w:val="00F621C0"/>
    <w:rsid w:val="00F73CC4"/>
    <w:rsid w:val="00F73D46"/>
    <w:rsid w:val="00F75D2C"/>
    <w:rsid w:val="00F761AE"/>
    <w:rsid w:val="00F7653F"/>
    <w:rsid w:val="00F87275"/>
    <w:rsid w:val="00F920ED"/>
    <w:rsid w:val="00FA0664"/>
    <w:rsid w:val="00FA0899"/>
    <w:rsid w:val="00FB21C5"/>
    <w:rsid w:val="00FB3402"/>
    <w:rsid w:val="00FC0DDD"/>
    <w:rsid w:val="00FC5B3E"/>
    <w:rsid w:val="00FC67AA"/>
    <w:rsid w:val="00FC6968"/>
    <w:rsid w:val="00FD3147"/>
    <w:rsid w:val="00FE10D2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5C76F-063E-4176-934A-2A7D6412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  <w:color w:val="5B9BD5" w:themeColor="accent1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paragraph" w:styleId="Obinitekst">
    <w:name w:val="Plain Text"/>
    <w:basedOn w:val="Normal"/>
    <w:link w:val="Obiniteks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Pr>
      <w:rFonts w:ascii="Courier New" w:hAnsi="Courier New" w:cs="Courier New"/>
      <w:sz w:val="21"/>
      <w:szCs w:val="21"/>
    </w:rPr>
  </w:style>
  <w:style w:type="paragraph" w:styleId="Adresaomotnice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Povratnaomotnica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1.104.279,00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</c:f>
              <c:strCache>
                <c:ptCount val="1"/>
                <c:pt idx="0">
                  <c:v>Kategorija 1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1104279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2021.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1.345.651,00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</c:f>
              <c:strCache>
                <c:ptCount val="1"/>
                <c:pt idx="0">
                  <c:v>Kategorija 1</c:v>
                </c:pt>
              </c:strCache>
            </c:strRef>
          </c:cat>
          <c:val>
            <c:numRef>
              <c:f>List1!$C$2</c:f>
              <c:numCache>
                <c:formatCode>General</c:formatCode>
                <c:ptCount val="1"/>
                <c:pt idx="0">
                  <c:v>1345651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6344560"/>
        <c:axId val="366344952"/>
      </c:barChart>
      <c:catAx>
        <c:axId val="366344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6344952"/>
        <c:crosses val="autoZero"/>
        <c:auto val="0"/>
        <c:lblAlgn val="ctr"/>
        <c:lblOffset val="100"/>
        <c:noMultiLvlLbl val="0"/>
      </c:catAx>
      <c:valAx>
        <c:axId val="366344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634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Ukupni prihodi</c:v>
                </c:pt>
                <c:pt idx="1">
                  <c:v>Prihodi od prodaje roba i pružanje usluga</c:v>
                </c:pt>
                <c:pt idx="2">
                  <c:v>Prihodi po posebnim propisima</c:v>
                </c:pt>
                <c:pt idx="3">
                  <c:v>Prihodi od donacija</c:v>
                </c:pt>
                <c:pt idx="4">
                  <c:v>Ostali prihodi</c:v>
                </c:pt>
              </c:strCache>
            </c:strRef>
          </c:cat>
          <c:val>
            <c:numRef>
              <c:f>List1!$B$2:$B$6</c:f>
              <c:numCache>
                <c:formatCode>#,##0</c:formatCode>
                <c:ptCount val="5"/>
                <c:pt idx="0">
                  <c:v>1409604</c:v>
                </c:pt>
                <c:pt idx="1">
                  <c:v>18600</c:v>
                </c:pt>
                <c:pt idx="2">
                  <c:v>1240528</c:v>
                </c:pt>
                <c:pt idx="3">
                  <c:v>132338</c:v>
                </c:pt>
                <c:pt idx="4">
                  <c:v>18049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Ukupni prihodi</c:v>
                </c:pt>
                <c:pt idx="1">
                  <c:v>Prihodi od prodaje roba i pružanje usluga</c:v>
                </c:pt>
                <c:pt idx="2">
                  <c:v>Prihodi po posebnim propisima</c:v>
                </c:pt>
                <c:pt idx="3">
                  <c:v>Prihodi od donacija</c:v>
                </c:pt>
                <c:pt idx="4">
                  <c:v>Ostali prihodi</c:v>
                </c:pt>
              </c:strCache>
            </c:strRef>
          </c:cat>
          <c:val>
            <c:numRef>
              <c:f>List1!$C$2:$C$6</c:f>
              <c:numCache>
                <c:formatCode>#,##0</c:formatCode>
                <c:ptCount val="5"/>
                <c:pt idx="0">
                  <c:v>1104279</c:v>
                </c:pt>
                <c:pt idx="1">
                  <c:v>15000</c:v>
                </c:pt>
                <c:pt idx="2">
                  <c:v>922200</c:v>
                </c:pt>
                <c:pt idx="3">
                  <c:v>152068</c:v>
                </c:pt>
                <c:pt idx="4">
                  <c:v>11047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966528"/>
        <c:axId val="431967704"/>
      </c:barChart>
      <c:catAx>
        <c:axId val="43196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1967704"/>
        <c:crosses val="autoZero"/>
        <c:auto val="1"/>
        <c:lblAlgn val="ctr"/>
        <c:lblOffset val="100"/>
        <c:noMultiLvlLbl val="0"/>
      </c:catAx>
      <c:valAx>
        <c:axId val="431967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196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</c:f>
              <c:strCache>
                <c:ptCount val="1"/>
                <c:pt idx="0">
                  <c:v>Kategorija 1</c:v>
                </c:pt>
              </c:strCache>
            </c:strRef>
          </c:cat>
          <c:val>
            <c:numRef>
              <c:f>List1!$B$2</c:f>
              <c:numCache>
                <c:formatCode>#,##0</c:formatCode>
                <c:ptCount val="1"/>
                <c:pt idx="0">
                  <c:v>1099069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2021.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</c:f>
              <c:strCache>
                <c:ptCount val="1"/>
                <c:pt idx="0">
                  <c:v>Kategorija 1</c:v>
                </c:pt>
              </c:strCache>
            </c:strRef>
          </c:cat>
          <c:val>
            <c:numRef>
              <c:f>List1!$C$2</c:f>
              <c:numCache>
                <c:formatCode>#,##0</c:formatCode>
                <c:ptCount val="1"/>
                <c:pt idx="0">
                  <c:v>1357586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1964960"/>
        <c:axId val="431965744"/>
      </c:barChart>
      <c:catAx>
        <c:axId val="4319649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31965744"/>
        <c:crosses val="autoZero"/>
        <c:auto val="1"/>
        <c:lblAlgn val="ctr"/>
        <c:lblOffset val="100"/>
        <c:noMultiLvlLbl val="0"/>
      </c:catAx>
      <c:valAx>
        <c:axId val="43196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196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Ukupni rashodi</c:v>
                </c:pt>
                <c:pt idx="1">
                  <c:v>Rashodi za radnike</c:v>
                </c:pt>
                <c:pt idx="2">
                  <c:v>Materijalni rashodi</c:v>
                </c:pt>
                <c:pt idx="3">
                  <c:v>Rashodi za usluge</c:v>
                </c:pt>
                <c:pt idx="4">
                  <c:v>Rashodi za materijal i energiju</c:v>
                </c:pt>
                <c:pt idx="5">
                  <c:v>Donacije</c:v>
                </c:pt>
              </c:strCache>
            </c:strRef>
          </c:cat>
          <c:val>
            <c:numRef>
              <c:f>List1!$B$2:$B$7</c:f>
              <c:numCache>
                <c:formatCode>#,##0</c:formatCode>
                <c:ptCount val="6"/>
                <c:pt idx="0">
                  <c:v>1099069</c:v>
                </c:pt>
                <c:pt idx="1">
                  <c:v>90765</c:v>
                </c:pt>
                <c:pt idx="2">
                  <c:v>338851</c:v>
                </c:pt>
                <c:pt idx="3">
                  <c:v>216632</c:v>
                </c:pt>
                <c:pt idx="4">
                  <c:v>53947</c:v>
                </c:pt>
                <c:pt idx="5">
                  <c:v>585000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2021.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Ukupni rashodi</c:v>
                </c:pt>
                <c:pt idx="1">
                  <c:v>Rashodi za radnike</c:v>
                </c:pt>
                <c:pt idx="2">
                  <c:v>Materijalni rashodi</c:v>
                </c:pt>
                <c:pt idx="3">
                  <c:v>Rashodi za usluge</c:v>
                </c:pt>
                <c:pt idx="4">
                  <c:v>Rashodi za materijal i energiju</c:v>
                </c:pt>
                <c:pt idx="5">
                  <c:v>Donacije</c:v>
                </c:pt>
              </c:strCache>
            </c:strRef>
          </c:cat>
          <c:val>
            <c:numRef>
              <c:f>List1!$C$2:$C$7</c:f>
              <c:numCache>
                <c:formatCode>#,##0</c:formatCode>
                <c:ptCount val="6"/>
                <c:pt idx="0">
                  <c:v>1357586</c:v>
                </c:pt>
                <c:pt idx="1">
                  <c:v>94764</c:v>
                </c:pt>
                <c:pt idx="2">
                  <c:v>433050</c:v>
                </c:pt>
                <c:pt idx="3">
                  <c:v>300491</c:v>
                </c:pt>
                <c:pt idx="4">
                  <c:v>60622</c:v>
                </c:pt>
                <c:pt idx="5">
                  <c:v>728762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6146336"/>
        <c:axId val="436148688"/>
      </c:barChart>
      <c:catAx>
        <c:axId val="4361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6148688"/>
        <c:crosses val="autoZero"/>
        <c:auto val="1"/>
        <c:lblAlgn val="ctr"/>
        <c:lblOffset val="100"/>
        <c:noMultiLvlLbl val="0"/>
      </c:catAx>
      <c:valAx>
        <c:axId val="43614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614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Ukupni prihodi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2019.</c:v>
                </c:pt>
                <c:pt idx="1">
                  <c:v>2020.</c:v>
                </c:pt>
                <c:pt idx="2">
                  <c:v>2021.</c:v>
                </c:pt>
              </c:strCache>
            </c:strRef>
          </c:cat>
          <c:val>
            <c:numRef>
              <c:f>List1!$B$2:$B$4</c:f>
              <c:numCache>
                <c:formatCode>#,##0</c:formatCode>
                <c:ptCount val="3"/>
                <c:pt idx="0">
                  <c:v>1409604</c:v>
                </c:pt>
                <c:pt idx="1">
                  <c:v>1104279</c:v>
                </c:pt>
                <c:pt idx="2">
                  <c:v>1345651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Ukupni rashodi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2019.</c:v>
                </c:pt>
                <c:pt idx="1">
                  <c:v>2020.</c:v>
                </c:pt>
                <c:pt idx="2">
                  <c:v>2021.</c:v>
                </c:pt>
              </c:strCache>
            </c:strRef>
          </c:cat>
          <c:val>
            <c:numRef>
              <c:f>List1!$C$2:$C$4</c:f>
              <c:numCache>
                <c:formatCode>#,##0</c:formatCode>
                <c:ptCount val="3"/>
                <c:pt idx="0">
                  <c:v>1405727</c:v>
                </c:pt>
                <c:pt idx="1">
                  <c:v>1099069</c:v>
                </c:pt>
                <c:pt idx="2">
                  <c:v>1357586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6149080"/>
        <c:axId val="436149472"/>
      </c:barChart>
      <c:catAx>
        <c:axId val="43614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6149472"/>
        <c:crosses val="autoZero"/>
        <c:auto val="1"/>
        <c:lblAlgn val="ctr"/>
        <c:lblOffset val="100"/>
        <c:noMultiLvlLbl val="0"/>
      </c:catAx>
      <c:valAx>
        <c:axId val="43614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614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3593-DB4A-42D2-836C-6885988B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popsy popsy</dc:creator>
  <cp:lastModifiedBy>Microsoftov račun</cp:lastModifiedBy>
  <cp:revision>3</cp:revision>
  <dcterms:created xsi:type="dcterms:W3CDTF">2022-03-08T13:39:00Z</dcterms:created>
  <dcterms:modified xsi:type="dcterms:W3CDTF">2022-03-09T09:30:00Z</dcterms:modified>
</cp:coreProperties>
</file>